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FB" w:rsidRPr="003C3367" w:rsidRDefault="0096592E" w:rsidP="001755FB">
      <w:pPr>
        <w:spacing w:after="0"/>
        <w:jc w:val="center"/>
        <w:rPr>
          <w:rFonts w:ascii="Times New Roman" w:hAnsi="Times New Roman"/>
          <w:b/>
          <w:bCs/>
          <w:sz w:val="72"/>
          <w:szCs w:val="72"/>
        </w:rPr>
      </w:pPr>
      <w:r w:rsidRPr="003C3367">
        <w:rPr>
          <w:rFonts w:ascii="Times New Roman" w:hAnsi="Times New Roman"/>
          <w:b/>
          <w:bCs/>
          <w:sz w:val="72"/>
          <w:szCs w:val="72"/>
        </w:rPr>
        <w:t>ARCEA</w:t>
      </w:r>
    </w:p>
    <w:p w:rsidR="001755FB" w:rsidRPr="003C3367" w:rsidRDefault="0096592E" w:rsidP="001755FB">
      <w:pPr>
        <w:spacing w:after="0"/>
        <w:jc w:val="center"/>
        <w:rPr>
          <w:rFonts w:ascii="Times New Roman" w:hAnsi="Times New Roman"/>
          <w:bCs/>
        </w:rPr>
      </w:pPr>
      <w:r w:rsidRPr="003C3367">
        <w:rPr>
          <w:rFonts w:ascii="Times New Roman" w:hAnsi="Times New Roman"/>
          <w:bCs/>
        </w:rPr>
        <w:t>Agenzia Regione Calabria per le Erogazioni in Agricoltura</w:t>
      </w:r>
    </w:p>
    <w:p w:rsidR="002B790F" w:rsidRPr="003C3367" w:rsidRDefault="0096592E" w:rsidP="002B790F">
      <w:pPr>
        <w:spacing w:after="0"/>
        <w:jc w:val="center"/>
        <w:rPr>
          <w:rFonts w:ascii="Times New Roman" w:hAnsi="Times New Roman"/>
          <w:bCs/>
        </w:rPr>
      </w:pPr>
      <w:r w:rsidRPr="003C3367">
        <w:rPr>
          <w:rFonts w:ascii="Times New Roman" w:hAnsi="Times New Roman"/>
          <w:bCs/>
        </w:rPr>
        <w:t>“Cittadella regionale” – Località Germaneto – 88100 Catanzaro</w:t>
      </w:r>
    </w:p>
    <w:p w:rsidR="00C460F7" w:rsidRPr="00E63330" w:rsidRDefault="00C460F7" w:rsidP="00C42491">
      <w:pPr>
        <w:spacing w:after="0"/>
        <w:rPr>
          <w:rFonts w:ascii="Times New Roman" w:hAnsi="Times New Roman"/>
          <w:b/>
          <w:sz w:val="24"/>
          <w:szCs w:val="24"/>
          <w:u w:val="single"/>
        </w:rPr>
      </w:pPr>
    </w:p>
    <w:p w:rsidR="009F0ADE" w:rsidRPr="00E63330" w:rsidRDefault="009F0ADE" w:rsidP="009F0ADE">
      <w:pPr>
        <w:spacing w:after="0" w:line="240" w:lineRule="auto"/>
        <w:jc w:val="center"/>
        <w:rPr>
          <w:rFonts w:ascii="Times New Roman" w:hAnsi="Times New Roman"/>
          <w:b/>
          <w:bCs/>
          <w:sz w:val="56"/>
          <w:szCs w:val="56"/>
          <w:lang w:eastAsia="it-IT"/>
        </w:rPr>
      </w:pPr>
    </w:p>
    <w:p w:rsidR="009F0ADE" w:rsidRPr="00E63330" w:rsidRDefault="009F0ADE" w:rsidP="009F0ADE">
      <w:pPr>
        <w:spacing w:after="0" w:line="240" w:lineRule="auto"/>
        <w:jc w:val="center"/>
        <w:rPr>
          <w:rFonts w:ascii="Times New Roman" w:hAnsi="Times New Roman"/>
          <w:b/>
          <w:bCs/>
          <w:sz w:val="56"/>
          <w:szCs w:val="56"/>
          <w:lang w:eastAsia="it-IT"/>
        </w:rPr>
      </w:pPr>
    </w:p>
    <w:p w:rsidR="00DD0F0E" w:rsidRPr="00E63330" w:rsidRDefault="00DD0F0E" w:rsidP="009F0ADE">
      <w:pPr>
        <w:framePr w:hSpace="141" w:wrap="around" w:vAnchor="text" w:hAnchor="page" w:x="1011" w:y="1683"/>
        <w:spacing w:after="0" w:line="240" w:lineRule="auto"/>
        <w:jc w:val="center"/>
        <w:rPr>
          <w:rFonts w:ascii="Times New Roman" w:hAnsi="Times New Roman"/>
          <w:b/>
          <w:bCs/>
          <w:sz w:val="48"/>
          <w:szCs w:val="48"/>
          <w:u w:val="single"/>
        </w:rPr>
      </w:pPr>
    </w:p>
    <w:p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rsidR="009F0ADE" w:rsidRPr="00E63330" w:rsidRDefault="0096592E" w:rsidP="009F0ADE">
      <w:pPr>
        <w:framePr w:hSpace="141" w:wrap="around" w:vAnchor="text" w:hAnchor="page" w:x="1011" w:y="1683"/>
        <w:spacing w:after="0" w:line="240" w:lineRule="auto"/>
        <w:jc w:val="center"/>
        <w:rPr>
          <w:rFonts w:ascii="Times New Roman" w:hAnsi="Times New Roman"/>
          <w:b/>
          <w:bCs/>
          <w:sz w:val="48"/>
          <w:szCs w:val="48"/>
          <w:u w:val="single"/>
        </w:rPr>
      </w:pPr>
      <w:r>
        <w:rPr>
          <w:rFonts w:ascii="Times New Roman" w:hAnsi="Times New Roman"/>
          <w:b/>
          <w:bCs/>
          <w:sz w:val="48"/>
          <w:szCs w:val="48"/>
          <w:u w:val="single"/>
        </w:rPr>
        <w:t>PIANO DELLA PERFORMANCE 2019-202</w:t>
      </w:r>
      <w:r w:rsidR="00846CEF">
        <w:rPr>
          <w:rFonts w:ascii="Times New Roman" w:hAnsi="Times New Roman"/>
          <w:b/>
          <w:bCs/>
          <w:sz w:val="48"/>
          <w:szCs w:val="48"/>
          <w:u w:val="single"/>
        </w:rPr>
        <w:t>1</w:t>
      </w:r>
    </w:p>
    <w:p w:rsidR="00902454" w:rsidRPr="00E63330" w:rsidRDefault="00902454" w:rsidP="009F0ADE">
      <w:pPr>
        <w:framePr w:hSpace="141" w:wrap="around" w:vAnchor="text" w:hAnchor="page" w:x="1011" w:y="1683"/>
        <w:spacing w:after="0" w:line="240" w:lineRule="auto"/>
        <w:jc w:val="center"/>
        <w:rPr>
          <w:rFonts w:ascii="Times New Roman" w:hAnsi="Times New Roman"/>
          <w:b/>
          <w:bCs/>
          <w:sz w:val="48"/>
          <w:szCs w:val="48"/>
          <w:u w:val="single"/>
        </w:rPr>
      </w:pPr>
    </w:p>
    <w:p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rPr>
      </w:pPr>
    </w:p>
    <w:p w:rsidR="009F0ADE" w:rsidRPr="00E63330"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center"/>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9F0ADE" w:rsidRPr="003C3367" w:rsidRDefault="009F0ADE" w:rsidP="009F0ADE">
      <w:pPr>
        <w:spacing w:after="0"/>
        <w:jc w:val="both"/>
        <w:rPr>
          <w:rFonts w:ascii="Times New Roman" w:hAnsi="Times New Roman"/>
          <w:bCs/>
          <w:sz w:val="18"/>
          <w:szCs w:val="18"/>
        </w:rPr>
      </w:pPr>
    </w:p>
    <w:p w:rsidR="00DE3766" w:rsidRPr="007F78C3" w:rsidRDefault="0096592E" w:rsidP="007F78C3">
      <w:pPr>
        <w:pStyle w:val="Nessunaspaziatura1"/>
        <w:rPr>
          <w:b/>
        </w:rPr>
      </w:pPr>
      <w:r w:rsidRPr="007F78C3">
        <w:rPr>
          <w:b/>
        </w:rPr>
        <w:t>Sommario</w:t>
      </w:r>
    </w:p>
    <w:bookmarkStart w:id="0" w:name="_GoBack"/>
    <w:bookmarkEnd w:id="0"/>
    <w:p w:rsidR="007F78C3" w:rsidRDefault="0096592E">
      <w:pPr>
        <w:pStyle w:val="Sommario1"/>
        <w:rPr>
          <w:rFonts w:asciiTheme="minorHAnsi" w:eastAsiaTheme="minorEastAsia" w:hAnsiTheme="minorHAnsi" w:cstheme="minorBidi"/>
          <w:noProof/>
          <w:lang w:eastAsia="it-IT"/>
        </w:rPr>
      </w:pPr>
      <w:r w:rsidRPr="003C3367">
        <w:rPr>
          <w:rFonts w:ascii="Times New Roman" w:hAnsi="Times New Roman"/>
        </w:rPr>
        <w:fldChar w:fldCharType="begin"/>
      </w:r>
      <w:r w:rsidRPr="003C3367">
        <w:rPr>
          <w:rFonts w:ascii="Times New Roman" w:hAnsi="Times New Roman"/>
        </w:rPr>
        <w:instrText xml:space="preserve"> TOC \o "1-3" \h \z \u </w:instrText>
      </w:r>
      <w:r w:rsidRPr="003C3367">
        <w:rPr>
          <w:rFonts w:ascii="Times New Roman" w:hAnsi="Times New Roman"/>
        </w:rPr>
        <w:fldChar w:fldCharType="separate"/>
      </w:r>
      <w:hyperlink w:anchor="_Toc1046928" w:history="1">
        <w:r w:rsidR="007F78C3" w:rsidRPr="00012C21">
          <w:rPr>
            <w:rStyle w:val="Collegamentoipertestuale"/>
            <w:noProof/>
          </w:rPr>
          <w:t>1</w:t>
        </w:r>
        <w:r w:rsidR="007F78C3">
          <w:rPr>
            <w:rFonts w:asciiTheme="minorHAnsi" w:eastAsiaTheme="minorEastAsia" w:hAnsiTheme="minorHAnsi" w:cstheme="minorBidi"/>
            <w:noProof/>
            <w:lang w:eastAsia="it-IT"/>
          </w:rPr>
          <w:tab/>
        </w:r>
        <w:r w:rsidR="007F78C3" w:rsidRPr="00012C21">
          <w:rPr>
            <w:rStyle w:val="Collegamentoipertestuale"/>
            <w:noProof/>
          </w:rPr>
          <w:t>Introduzione</w:t>
        </w:r>
        <w:r w:rsidR="007F78C3">
          <w:rPr>
            <w:noProof/>
            <w:webHidden/>
          </w:rPr>
          <w:tab/>
        </w:r>
        <w:r w:rsidR="007F78C3">
          <w:rPr>
            <w:noProof/>
            <w:webHidden/>
          </w:rPr>
          <w:fldChar w:fldCharType="begin"/>
        </w:r>
        <w:r w:rsidR="007F78C3">
          <w:rPr>
            <w:noProof/>
            <w:webHidden/>
          </w:rPr>
          <w:instrText xml:space="preserve"> PAGEREF _Toc1046928 \h </w:instrText>
        </w:r>
        <w:r w:rsidR="007F78C3">
          <w:rPr>
            <w:noProof/>
            <w:webHidden/>
          </w:rPr>
        </w:r>
        <w:r w:rsidR="007F78C3">
          <w:rPr>
            <w:noProof/>
            <w:webHidden/>
          </w:rPr>
          <w:fldChar w:fldCharType="separate"/>
        </w:r>
        <w:r w:rsidR="007F78C3">
          <w:rPr>
            <w:noProof/>
            <w:webHidden/>
          </w:rPr>
          <w:t>4</w:t>
        </w:r>
        <w:r w:rsidR="007F78C3">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29" w:history="1">
        <w:r w:rsidRPr="00012C21">
          <w:rPr>
            <w:rStyle w:val="Collegamentoipertestuale"/>
            <w:noProof/>
            <w:snapToGrid w:val="0"/>
            <w:w w:val="0"/>
          </w:rPr>
          <w:t>1.1</w:t>
        </w:r>
        <w:r>
          <w:rPr>
            <w:rFonts w:asciiTheme="minorHAnsi" w:eastAsiaTheme="minorEastAsia" w:hAnsiTheme="minorHAnsi" w:cstheme="minorBidi"/>
            <w:noProof/>
            <w:lang w:eastAsia="it-IT"/>
          </w:rPr>
          <w:tab/>
        </w:r>
        <w:r w:rsidRPr="00012C21">
          <w:rPr>
            <w:rStyle w:val="Collegamentoipertestuale"/>
            <w:noProof/>
          </w:rPr>
          <w:t>Inquadramento</w:t>
        </w:r>
        <w:r>
          <w:rPr>
            <w:noProof/>
            <w:webHidden/>
          </w:rPr>
          <w:tab/>
        </w:r>
        <w:r>
          <w:rPr>
            <w:noProof/>
            <w:webHidden/>
          </w:rPr>
          <w:fldChar w:fldCharType="begin"/>
        </w:r>
        <w:r>
          <w:rPr>
            <w:noProof/>
            <w:webHidden/>
          </w:rPr>
          <w:instrText xml:space="preserve"> PAGEREF _Toc1046929 \h </w:instrText>
        </w:r>
        <w:r>
          <w:rPr>
            <w:noProof/>
            <w:webHidden/>
          </w:rPr>
        </w:r>
        <w:r>
          <w:rPr>
            <w:noProof/>
            <w:webHidden/>
          </w:rPr>
          <w:fldChar w:fldCharType="separate"/>
        </w:r>
        <w:r>
          <w:rPr>
            <w:noProof/>
            <w:webHidden/>
          </w:rPr>
          <w:t>4</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30" w:history="1">
        <w:r w:rsidRPr="00012C21">
          <w:rPr>
            <w:rStyle w:val="Collegamentoipertestuale"/>
            <w:noProof/>
          </w:rPr>
          <w:t>1.1.1 Principi generali</w:t>
        </w:r>
        <w:r>
          <w:rPr>
            <w:noProof/>
            <w:webHidden/>
          </w:rPr>
          <w:tab/>
        </w:r>
        <w:r>
          <w:rPr>
            <w:noProof/>
            <w:webHidden/>
          </w:rPr>
          <w:fldChar w:fldCharType="begin"/>
        </w:r>
        <w:r>
          <w:rPr>
            <w:noProof/>
            <w:webHidden/>
          </w:rPr>
          <w:instrText xml:space="preserve"> PAGEREF _Toc1046930 \h </w:instrText>
        </w:r>
        <w:r>
          <w:rPr>
            <w:noProof/>
            <w:webHidden/>
          </w:rPr>
        </w:r>
        <w:r>
          <w:rPr>
            <w:noProof/>
            <w:webHidden/>
          </w:rPr>
          <w:fldChar w:fldCharType="separate"/>
        </w:r>
        <w:r>
          <w:rPr>
            <w:noProof/>
            <w:webHidden/>
          </w:rPr>
          <w:t>4</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31" w:history="1">
        <w:r w:rsidRPr="00012C21">
          <w:rPr>
            <w:rStyle w:val="Collegamentoipertestuale"/>
            <w:noProof/>
          </w:rPr>
          <w:t>1.1.2 Contesto normativo</w:t>
        </w:r>
        <w:r>
          <w:rPr>
            <w:noProof/>
            <w:webHidden/>
          </w:rPr>
          <w:tab/>
        </w:r>
        <w:r>
          <w:rPr>
            <w:noProof/>
            <w:webHidden/>
          </w:rPr>
          <w:fldChar w:fldCharType="begin"/>
        </w:r>
        <w:r>
          <w:rPr>
            <w:noProof/>
            <w:webHidden/>
          </w:rPr>
          <w:instrText xml:space="preserve"> PAGEREF _Toc1046931 \h </w:instrText>
        </w:r>
        <w:r>
          <w:rPr>
            <w:noProof/>
            <w:webHidden/>
          </w:rPr>
        </w:r>
        <w:r>
          <w:rPr>
            <w:noProof/>
            <w:webHidden/>
          </w:rPr>
          <w:fldChar w:fldCharType="separate"/>
        </w:r>
        <w:r>
          <w:rPr>
            <w:noProof/>
            <w:webHidden/>
          </w:rPr>
          <w:t>4</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32" w:history="1">
        <w:r w:rsidRPr="00012C21">
          <w:rPr>
            <w:rStyle w:val="Collegamentoipertestuale"/>
            <w:noProof/>
            <w:snapToGrid w:val="0"/>
            <w:w w:val="0"/>
          </w:rPr>
          <w:t>1.2</w:t>
        </w:r>
        <w:r>
          <w:rPr>
            <w:rFonts w:asciiTheme="minorHAnsi" w:eastAsiaTheme="minorEastAsia" w:hAnsiTheme="minorHAnsi" w:cstheme="minorBidi"/>
            <w:noProof/>
            <w:lang w:eastAsia="it-IT"/>
          </w:rPr>
          <w:tab/>
        </w:r>
        <w:r w:rsidRPr="00012C21">
          <w:rPr>
            <w:rStyle w:val="Collegamentoipertestuale"/>
            <w:noProof/>
          </w:rPr>
          <w:t>Recepimento delle osservazioni dell’Organismo Indipendente di Valutazione e adeguamento alle nuove disposizioni normative:</w:t>
        </w:r>
        <w:r>
          <w:rPr>
            <w:noProof/>
            <w:webHidden/>
          </w:rPr>
          <w:tab/>
        </w:r>
        <w:r>
          <w:rPr>
            <w:noProof/>
            <w:webHidden/>
          </w:rPr>
          <w:fldChar w:fldCharType="begin"/>
        </w:r>
        <w:r>
          <w:rPr>
            <w:noProof/>
            <w:webHidden/>
          </w:rPr>
          <w:instrText xml:space="preserve"> PAGEREF _Toc1046932 \h </w:instrText>
        </w:r>
        <w:r>
          <w:rPr>
            <w:noProof/>
            <w:webHidden/>
          </w:rPr>
        </w:r>
        <w:r>
          <w:rPr>
            <w:noProof/>
            <w:webHidden/>
          </w:rPr>
          <w:fldChar w:fldCharType="separate"/>
        </w:r>
        <w:r>
          <w:rPr>
            <w:noProof/>
            <w:webHidden/>
          </w:rPr>
          <w:t>6</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33" w:history="1">
        <w:r w:rsidRPr="00012C21">
          <w:rPr>
            <w:rStyle w:val="Collegamentoipertestuale"/>
            <w:noProof/>
            <w:snapToGrid w:val="0"/>
            <w:w w:val="0"/>
          </w:rPr>
          <w:t>1.3</w:t>
        </w:r>
        <w:r>
          <w:rPr>
            <w:rFonts w:asciiTheme="minorHAnsi" w:eastAsiaTheme="minorEastAsia" w:hAnsiTheme="minorHAnsi" w:cstheme="minorBidi"/>
            <w:noProof/>
            <w:lang w:eastAsia="it-IT"/>
          </w:rPr>
          <w:tab/>
        </w:r>
        <w:r w:rsidRPr="00012C21">
          <w:rPr>
            <w:rStyle w:val="Collegamentoipertestuale"/>
            <w:noProof/>
          </w:rPr>
          <w:t>Recepimento dei suggerimenti forniti dall’OIV durante la riunione dell11 Gennaio 2019</w:t>
        </w:r>
        <w:r>
          <w:rPr>
            <w:noProof/>
            <w:webHidden/>
          </w:rPr>
          <w:tab/>
        </w:r>
        <w:r>
          <w:rPr>
            <w:noProof/>
            <w:webHidden/>
          </w:rPr>
          <w:fldChar w:fldCharType="begin"/>
        </w:r>
        <w:r>
          <w:rPr>
            <w:noProof/>
            <w:webHidden/>
          </w:rPr>
          <w:instrText xml:space="preserve"> PAGEREF _Toc1046933 \h </w:instrText>
        </w:r>
        <w:r>
          <w:rPr>
            <w:noProof/>
            <w:webHidden/>
          </w:rPr>
        </w:r>
        <w:r>
          <w:rPr>
            <w:noProof/>
            <w:webHidden/>
          </w:rPr>
          <w:fldChar w:fldCharType="separate"/>
        </w:r>
        <w:r>
          <w:rPr>
            <w:noProof/>
            <w:webHidden/>
          </w:rPr>
          <w:t>10</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34" w:history="1">
        <w:r w:rsidRPr="00012C21">
          <w:rPr>
            <w:rStyle w:val="Collegamentoipertestuale"/>
            <w:noProof/>
            <w:snapToGrid w:val="0"/>
            <w:w w:val="0"/>
          </w:rPr>
          <w:t>1.4</w:t>
        </w:r>
        <w:r>
          <w:rPr>
            <w:rFonts w:asciiTheme="minorHAnsi" w:eastAsiaTheme="minorEastAsia" w:hAnsiTheme="minorHAnsi" w:cstheme="minorBidi"/>
            <w:noProof/>
            <w:lang w:eastAsia="it-IT"/>
          </w:rPr>
          <w:tab/>
        </w:r>
        <w:r w:rsidRPr="00012C21">
          <w:rPr>
            <w:rStyle w:val="Collegamentoipertestuale"/>
            <w:noProof/>
          </w:rPr>
          <w:t>Rielaborazione grafica del Piano in favore degli stakeholders</w:t>
        </w:r>
        <w:r>
          <w:rPr>
            <w:noProof/>
            <w:webHidden/>
          </w:rPr>
          <w:tab/>
        </w:r>
        <w:r>
          <w:rPr>
            <w:noProof/>
            <w:webHidden/>
          </w:rPr>
          <w:fldChar w:fldCharType="begin"/>
        </w:r>
        <w:r>
          <w:rPr>
            <w:noProof/>
            <w:webHidden/>
          </w:rPr>
          <w:instrText xml:space="preserve"> PAGEREF _Toc1046934 \h </w:instrText>
        </w:r>
        <w:r>
          <w:rPr>
            <w:noProof/>
            <w:webHidden/>
          </w:rPr>
        </w:r>
        <w:r>
          <w:rPr>
            <w:noProof/>
            <w:webHidden/>
          </w:rPr>
          <w:fldChar w:fldCharType="separate"/>
        </w:r>
        <w:r>
          <w:rPr>
            <w:noProof/>
            <w:webHidden/>
          </w:rPr>
          <w:t>11</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35" w:history="1">
        <w:r w:rsidRPr="00012C21">
          <w:rPr>
            <w:rStyle w:val="Collegamentoipertestuale"/>
            <w:noProof/>
          </w:rPr>
          <w:t>Parte I- Sintesi delle informazioni di interesse</w:t>
        </w:r>
        <w:r>
          <w:rPr>
            <w:noProof/>
            <w:webHidden/>
          </w:rPr>
          <w:tab/>
        </w:r>
        <w:r>
          <w:rPr>
            <w:noProof/>
            <w:webHidden/>
          </w:rPr>
          <w:fldChar w:fldCharType="begin"/>
        </w:r>
        <w:r>
          <w:rPr>
            <w:noProof/>
            <w:webHidden/>
          </w:rPr>
          <w:instrText xml:space="preserve"> PAGEREF _Toc1046935 \h </w:instrText>
        </w:r>
        <w:r>
          <w:rPr>
            <w:noProof/>
            <w:webHidden/>
          </w:rPr>
        </w:r>
        <w:r>
          <w:rPr>
            <w:noProof/>
            <w:webHidden/>
          </w:rPr>
          <w:fldChar w:fldCharType="separate"/>
        </w:r>
        <w:r>
          <w:rPr>
            <w:noProof/>
            <w:webHidden/>
          </w:rPr>
          <w:t>13</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36" w:history="1">
        <w:r w:rsidRPr="00012C21">
          <w:rPr>
            <w:rStyle w:val="Collegamentoipertestuale"/>
            <w:noProof/>
          </w:rPr>
          <w:t>1.</w:t>
        </w:r>
        <w:r>
          <w:rPr>
            <w:rFonts w:asciiTheme="minorHAnsi" w:eastAsiaTheme="minorEastAsia" w:hAnsiTheme="minorHAnsi" w:cstheme="minorBidi"/>
            <w:noProof/>
            <w:lang w:eastAsia="it-IT"/>
          </w:rPr>
          <w:tab/>
        </w:r>
        <w:r w:rsidRPr="00012C21">
          <w:rPr>
            <w:rStyle w:val="Collegamentoipertestuale"/>
            <w:noProof/>
          </w:rPr>
          <w:t>Premessa: Il contesto di riferimento</w:t>
        </w:r>
        <w:r>
          <w:rPr>
            <w:noProof/>
            <w:webHidden/>
          </w:rPr>
          <w:tab/>
        </w:r>
        <w:r>
          <w:rPr>
            <w:noProof/>
            <w:webHidden/>
          </w:rPr>
          <w:fldChar w:fldCharType="begin"/>
        </w:r>
        <w:r>
          <w:rPr>
            <w:noProof/>
            <w:webHidden/>
          </w:rPr>
          <w:instrText xml:space="preserve"> PAGEREF _Toc1046936 \h </w:instrText>
        </w:r>
        <w:r>
          <w:rPr>
            <w:noProof/>
            <w:webHidden/>
          </w:rPr>
        </w:r>
        <w:r>
          <w:rPr>
            <w:noProof/>
            <w:webHidden/>
          </w:rPr>
          <w:fldChar w:fldCharType="separate"/>
        </w:r>
        <w:r>
          <w:rPr>
            <w:noProof/>
            <w:webHidden/>
          </w:rPr>
          <w:t>14</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37" w:history="1">
        <w:r w:rsidRPr="00012C21">
          <w:rPr>
            <w:rStyle w:val="Collegamentoipertestuale"/>
            <w:noProof/>
          </w:rPr>
          <w:t>2</w:t>
        </w:r>
        <w:r>
          <w:rPr>
            <w:rFonts w:asciiTheme="minorHAnsi" w:eastAsiaTheme="minorEastAsia" w:hAnsiTheme="minorHAnsi" w:cstheme="minorBidi"/>
            <w:noProof/>
            <w:lang w:eastAsia="it-IT"/>
          </w:rPr>
          <w:tab/>
        </w:r>
        <w:r w:rsidRPr="00012C21">
          <w:rPr>
            <w:rStyle w:val="Collegamentoipertestuale"/>
            <w:noProof/>
          </w:rPr>
          <w:t>SWOT Analysis dell’ARCEA</w:t>
        </w:r>
        <w:r>
          <w:rPr>
            <w:noProof/>
            <w:webHidden/>
          </w:rPr>
          <w:tab/>
        </w:r>
        <w:r>
          <w:rPr>
            <w:noProof/>
            <w:webHidden/>
          </w:rPr>
          <w:fldChar w:fldCharType="begin"/>
        </w:r>
        <w:r>
          <w:rPr>
            <w:noProof/>
            <w:webHidden/>
          </w:rPr>
          <w:instrText xml:space="preserve"> PAGEREF _Toc1046937 \h </w:instrText>
        </w:r>
        <w:r>
          <w:rPr>
            <w:noProof/>
            <w:webHidden/>
          </w:rPr>
        </w:r>
        <w:r>
          <w:rPr>
            <w:noProof/>
            <w:webHidden/>
          </w:rPr>
          <w:fldChar w:fldCharType="separate"/>
        </w:r>
        <w:r>
          <w:rPr>
            <w:noProof/>
            <w:webHidden/>
          </w:rPr>
          <w:t>17</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38" w:history="1">
        <w:r w:rsidRPr="00012C21">
          <w:rPr>
            <w:rStyle w:val="Collegamentoipertestuale"/>
            <w:noProof/>
            <w:snapToGrid w:val="0"/>
            <w:w w:val="0"/>
          </w:rPr>
          <w:t>2.1</w:t>
        </w:r>
        <w:r>
          <w:rPr>
            <w:rFonts w:asciiTheme="minorHAnsi" w:eastAsiaTheme="minorEastAsia" w:hAnsiTheme="minorHAnsi" w:cstheme="minorBidi"/>
            <w:noProof/>
            <w:lang w:eastAsia="it-IT"/>
          </w:rPr>
          <w:tab/>
        </w:r>
        <w:r w:rsidRPr="00012C21">
          <w:rPr>
            <w:rStyle w:val="Collegamentoipertestuale"/>
            <w:noProof/>
          </w:rPr>
          <w:t>Che cosa è L’ARCEA</w:t>
        </w:r>
        <w:r>
          <w:rPr>
            <w:noProof/>
            <w:webHidden/>
          </w:rPr>
          <w:tab/>
        </w:r>
        <w:r>
          <w:rPr>
            <w:noProof/>
            <w:webHidden/>
          </w:rPr>
          <w:fldChar w:fldCharType="begin"/>
        </w:r>
        <w:r>
          <w:rPr>
            <w:noProof/>
            <w:webHidden/>
          </w:rPr>
          <w:instrText xml:space="preserve"> PAGEREF _Toc1046938 \h </w:instrText>
        </w:r>
        <w:r>
          <w:rPr>
            <w:noProof/>
            <w:webHidden/>
          </w:rPr>
        </w:r>
        <w:r>
          <w:rPr>
            <w:noProof/>
            <w:webHidden/>
          </w:rPr>
          <w:fldChar w:fldCharType="separate"/>
        </w:r>
        <w:r>
          <w:rPr>
            <w:noProof/>
            <w:webHidden/>
          </w:rPr>
          <w:t>17</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39" w:history="1">
        <w:r w:rsidRPr="00012C21">
          <w:rPr>
            <w:rStyle w:val="Collegamentoipertestuale"/>
            <w:noProof/>
            <w:snapToGrid w:val="0"/>
            <w:w w:val="0"/>
          </w:rPr>
          <w:t>2.2</w:t>
        </w:r>
        <w:r>
          <w:rPr>
            <w:rFonts w:asciiTheme="minorHAnsi" w:eastAsiaTheme="minorEastAsia" w:hAnsiTheme="minorHAnsi" w:cstheme="minorBidi"/>
            <w:noProof/>
            <w:lang w:eastAsia="it-IT"/>
          </w:rPr>
          <w:tab/>
        </w:r>
        <w:r w:rsidRPr="00012C21">
          <w:rPr>
            <w:rStyle w:val="Collegamentoipertestuale"/>
            <w:noProof/>
          </w:rPr>
          <w:t>Il riconoscimento quale Organismo Pagatore Regionale</w:t>
        </w:r>
        <w:r>
          <w:rPr>
            <w:noProof/>
            <w:webHidden/>
          </w:rPr>
          <w:tab/>
        </w:r>
        <w:r>
          <w:rPr>
            <w:noProof/>
            <w:webHidden/>
          </w:rPr>
          <w:fldChar w:fldCharType="begin"/>
        </w:r>
        <w:r>
          <w:rPr>
            <w:noProof/>
            <w:webHidden/>
          </w:rPr>
          <w:instrText xml:space="preserve"> PAGEREF _Toc1046939 \h </w:instrText>
        </w:r>
        <w:r>
          <w:rPr>
            <w:noProof/>
            <w:webHidden/>
          </w:rPr>
        </w:r>
        <w:r>
          <w:rPr>
            <w:noProof/>
            <w:webHidden/>
          </w:rPr>
          <w:fldChar w:fldCharType="separate"/>
        </w:r>
        <w:r>
          <w:rPr>
            <w:noProof/>
            <w:webHidden/>
          </w:rPr>
          <w:t>18</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40" w:history="1">
        <w:r w:rsidRPr="00012C21">
          <w:rPr>
            <w:rStyle w:val="Collegamentoipertestuale"/>
            <w:noProof/>
            <w:snapToGrid w:val="0"/>
            <w:w w:val="0"/>
          </w:rPr>
          <w:t>2.3</w:t>
        </w:r>
        <w:r>
          <w:rPr>
            <w:rFonts w:asciiTheme="minorHAnsi" w:eastAsiaTheme="minorEastAsia" w:hAnsiTheme="minorHAnsi" w:cstheme="minorBidi"/>
            <w:noProof/>
            <w:lang w:eastAsia="it-IT"/>
          </w:rPr>
          <w:tab/>
        </w:r>
        <w:r w:rsidRPr="00012C21">
          <w:rPr>
            <w:rStyle w:val="Collegamentoipertestuale"/>
            <w:noProof/>
          </w:rPr>
          <w:t>Le erogazioni di risorse effettuati dall’ARCEA in relazione all’attuazione della PAC</w:t>
        </w:r>
        <w:r>
          <w:rPr>
            <w:noProof/>
            <w:webHidden/>
          </w:rPr>
          <w:tab/>
        </w:r>
        <w:r>
          <w:rPr>
            <w:noProof/>
            <w:webHidden/>
          </w:rPr>
          <w:fldChar w:fldCharType="begin"/>
        </w:r>
        <w:r>
          <w:rPr>
            <w:noProof/>
            <w:webHidden/>
          </w:rPr>
          <w:instrText xml:space="preserve"> PAGEREF _Toc1046940 \h </w:instrText>
        </w:r>
        <w:r>
          <w:rPr>
            <w:noProof/>
            <w:webHidden/>
          </w:rPr>
        </w:r>
        <w:r>
          <w:rPr>
            <w:noProof/>
            <w:webHidden/>
          </w:rPr>
          <w:fldChar w:fldCharType="separate"/>
        </w:r>
        <w:r>
          <w:rPr>
            <w:noProof/>
            <w:webHidden/>
          </w:rPr>
          <w:t>18</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41" w:history="1">
        <w:r w:rsidRPr="00012C21">
          <w:rPr>
            <w:rStyle w:val="Collegamentoipertestuale"/>
            <w:noProof/>
            <w:snapToGrid w:val="0"/>
            <w:w w:val="0"/>
          </w:rPr>
          <w:t>2.4</w:t>
        </w:r>
        <w:r>
          <w:rPr>
            <w:rFonts w:asciiTheme="minorHAnsi" w:eastAsiaTheme="minorEastAsia" w:hAnsiTheme="minorHAnsi" w:cstheme="minorBidi"/>
            <w:noProof/>
            <w:lang w:eastAsia="it-IT"/>
          </w:rPr>
          <w:tab/>
        </w:r>
        <w:r w:rsidRPr="00012C21">
          <w:rPr>
            <w:rStyle w:val="Collegamentoipertestuale"/>
            <w:noProof/>
          </w:rPr>
          <w:t>Elementi caratteristici dell’ARCEA</w:t>
        </w:r>
        <w:r>
          <w:rPr>
            <w:noProof/>
            <w:webHidden/>
          </w:rPr>
          <w:tab/>
        </w:r>
        <w:r>
          <w:rPr>
            <w:noProof/>
            <w:webHidden/>
          </w:rPr>
          <w:fldChar w:fldCharType="begin"/>
        </w:r>
        <w:r>
          <w:rPr>
            <w:noProof/>
            <w:webHidden/>
          </w:rPr>
          <w:instrText xml:space="preserve"> PAGEREF _Toc1046941 \h </w:instrText>
        </w:r>
        <w:r>
          <w:rPr>
            <w:noProof/>
            <w:webHidden/>
          </w:rPr>
        </w:r>
        <w:r>
          <w:rPr>
            <w:noProof/>
            <w:webHidden/>
          </w:rPr>
          <w:fldChar w:fldCharType="separate"/>
        </w:r>
        <w:r>
          <w:rPr>
            <w:noProof/>
            <w:webHidden/>
          </w:rPr>
          <w:t>19</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42" w:history="1">
        <w:r w:rsidRPr="00012C21">
          <w:rPr>
            <w:rStyle w:val="Collegamentoipertestuale"/>
            <w:noProof/>
          </w:rPr>
          <w:t>I. Ambiente interno</w:t>
        </w:r>
        <w:r>
          <w:rPr>
            <w:noProof/>
            <w:webHidden/>
          </w:rPr>
          <w:tab/>
        </w:r>
        <w:r>
          <w:rPr>
            <w:noProof/>
            <w:webHidden/>
          </w:rPr>
          <w:fldChar w:fldCharType="begin"/>
        </w:r>
        <w:r>
          <w:rPr>
            <w:noProof/>
            <w:webHidden/>
          </w:rPr>
          <w:instrText xml:space="preserve"> PAGEREF _Toc1046942 \h </w:instrText>
        </w:r>
        <w:r>
          <w:rPr>
            <w:noProof/>
            <w:webHidden/>
          </w:rPr>
        </w:r>
        <w:r>
          <w:rPr>
            <w:noProof/>
            <w:webHidden/>
          </w:rPr>
          <w:fldChar w:fldCharType="separate"/>
        </w:r>
        <w:r>
          <w:rPr>
            <w:noProof/>
            <w:webHidden/>
          </w:rPr>
          <w:t>19</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43" w:history="1">
        <w:r w:rsidRPr="00012C21">
          <w:rPr>
            <w:rStyle w:val="Collegamentoipertestuale"/>
            <w:noProof/>
          </w:rPr>
          <w:t>II. Attività di controllo</w:t>
        </w:r>
        <w:r>
          <w:rPr>
            <w:noProof/>
            <w:webHidden/>
          </w:rPr>
          <w:tab/>
        </w:r>
        <w:r>
          <w:rPr>
            <w:noProof/>
            <w:webHidden/>
          </w:rPr>
          <w:fldChar w:fldCharType="begin"/>
        </w:r>
        <w:r>
          <w:rPr>
            <w:noProof/>
            <w:webHidden/>
          </w:rPr>
          <w:instrText xml:space="preserve"> PAGEREF _Toc1046943 \h </w:instrText>
        </w:r>
        <w:r>
          <w:rPr>
            <w:noProof/>
            <w:webHidden/>
          </w:rPr>
        </w:r>
        <w:r>
          <w:rPr>
            <w:noProof/>
            <w:webHidden/>
          </w:rPr>
          <w:fldChar w:fldCharType="separate"/>
        </w:r>
        <w:r>
          <w:rPr>
            <w:noProof/>
            <w:webHidden/>
          </w:rPr>
          <w:t>22</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44" w:history="1">
        <w:r w:rsidRPr="00012C21">
          <w:rPr>
            <w:rStyle w:val="Collegamentoipertestuale"/>
            <w:noProof/>
          </w:rPr>
          <w:t>III. Informazione e comunicazioni</w:t>
        </w:r>
        <w:r>
          <w:rPr>
            <w:noProof/>
            <w:webHidden/>
          </w:rPr>
          <w:tab/>
        </w:r>
        <w:r>
          <w:rPr>
            <w:noProof/>
            <w:webHidden/>
          </w:rPr>
          <w:fldChar w:fldCharType="begin"/>
        </w:r>
        <w:r>
          <w:rPr>
            <w:noProof/>
            <w:webHidden/>
          </w:rPr>
          <w:instrText xml:space="preserve"> PAGEREF _Toc1046944 \h </w:instrText>
        </w:r>
        <w:r>
          <w:rPr>
            <w:noProof/>
            <w:webHidden/>
          </w:rPr>
        </w:r>
        <w:r>
          <w:rPr>
            <w:noProof/>
            <w:webHidden/>
          </w:rPr>
          <w:fldChar w:fldCharType="separate"/>
        </w:r>
        <w:r>
          <w:rPr>
            <w:noProof/>
            <w:webHidden/>
          </w:rPr>
          <w:t>24</w:t>
        </w:r>
        <w:r>
          <w:rPr>
            <w:noProof/>
            <w:webHidden/>
          </w:rPr>
          <w:fldChar w:fldCharType="end"/>
        </w:r>
      </w:hyperlink>
    </w:p>
    <w:p w:rsidR="007F78C3" w:rsidRDefault="007F78C3">
      <w:pPr>
        <w:pStyle w:val="Sommario3"/>
        <w:tabs>
          <w:tab w:val="right" w:leader="dot" w:pos="9486"/>
        </w:tabs>
        <w:rPr>
          <w:rFonts w:asciiTheme="minorHAnsi" w:eastAsiaTheme="minorEastAsia" w:hAnsiTheme="minorHAnsi" w:cstheme="minorBidi"/>
          <w:noProof/>
          <w:lang w:eastAsia="it-IT"/>
        </w:rPr>
      </w:pPr>
      <w:hyperlink w:anchor="_Toc1046945" w:history="1">
        <w:r w:rsidRPr="00012C21">
          <w:rPr>
            <w:rStyle w:val="Collegamentoipertestuale"/>
            <w:noProof/>
          </w:rPr>
          <w:t>IV. Monitoraggio</w:t>
        </w:r>
        <w:r>
          <w:rPr>
            <w:noProof/>
            <w:webHidden/>
          </w:rPr>
          <w:tab/>
        </w:r>
        <w:r>
          <w:rPr>
            <w:noProof/>
            <w:webHidden/>
          </w:rPr>
          <w:fldChar w:fldCharType="begin"/>
        </w:r>
        <w:r>
          <w:rPr>
            <w:noProof/>
            <w:webHidden/>
          </w:rPr>
          <w:instrText xml:space="preserve"> PAGEREF _Toc1046945 \h </w:instrText>
        </w:r>
        <w:r>
          <w:rPr>
            <w:noProof/>
            <w:webHidden/>
          </w:rPr>
        </w:r>
        <w:r>
          <w:rPr>
            <w:noProof/>
            <w:webHidden/>
          </w:rPr>
          <w:fldChar w:fldCharType="separate"/>
        </w:r>
        <w:r>
          <w:rPr>
            <w:noProof/>
            <w:webHidden/>
          </w:rPr>
          <w:t>25</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46" w:history="1">
        <w:r w:rsidRPr="00012C21">
          <w:rPr>
            <w:rStyle w:val="Collegamentoipertestuale"/>
            <w:noProof/>
          </w:rPr>
          <w:t>3</w:t>
        </w:r>
        <w:r>
          <w:rPr>
            <w:rFonts w:asciiTheme="minorHAnsi" w:eastAsiaTheme="minorEastAsia" w:hAnsiTheme="minorHAnsi" w:cstheme="minorBidi"/>
            <w:noProof/>
            <w:lang w:eastAsia="it-IT"/>
          </w:rPr>
          <w:tab/>
        </w:r>
        <w:r w:rsidRPr="00012C21">
          <w:rPr>
            <w:rStyle w:val="Collegamentoipertestuale"/>
            <w:noProof/>
          </w:rPr>
          <w:t>Dove siamo</w:t>
        </w:r>
        <w:r>
          <w:rPr>
            <w:noProof/>
            <w:webHidden/>
          </w:rPr>
          <w:tab/>
        </w:r>
        <w:r>
          <w:rPr>
            <w:noProof/>
            <w:webHidden/>
          </w:rPr>
          <w:fldChar w:fldCharType="begin"/>
        </w:r>
        <w:r>
          <w:rPr>
            <w:noProof/>
            <w:webHidden/>
          </w:rPr>
          <w:instrText xml:space="preserve"> PAGEREF _Toc1046946 \h </w:instrText>
        </w:r>
        <w:r>
          <w:rPr>
            <w:noProof/>
            <w:webHidden/>
          </w:rPr>
        </w:r>
        <w:r>
          <w:rPr>
            <w:noProof/>
            <w:webHidden/>
          </w:rPr>
          <w:fldChar w:fldCharType="separate"/>
        </w:r>
        <w:r>
          <w:rPr>
            <w:noProof/>
            <w:webHidden/>
          </w:rPr>
          <w:t>28</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47" w:history="1">
        <w:r w:rsidRPr="00012C21">
          <w:rPr>
            <w:rStyle w:val="Collegamentoipertestuale"/>
            <w:noProof/>
          </w:rPr>
          <w:t>4</w:t>
        </w:r>
        <w:r>
          <w:rPr>
            <w:rFonts w:asciiTheme="minorHAnsi" w:eastAsiaTheme="minorEastAsia" w:hAnsiTheme="minorHAnsi" w:cstheme="minorBidi"/>
            <w:noProof/>
            <w:lang w:eastAsia="it-IT"/>
          </w:rPr>
          <w:tab/>
        </w:r>
        <w:r w:rsidRPr="00012C21">
          <w:rPr>
            <w:rStyle w:val="Collegamentoipertestuale"/>
            <w:noProof/>
          </w:rPr>
          <w:t>L’ARCEA in cifre (al 31 dicembre 2018):</w:t>
        </w:r>
        <w:r>
          <w:rPr>
            <w:noProof/>
            <w:webHidden/>
          </w:rPr>
          <w:tab/>
        </w:r>
        <w:r>
          <w:rPr>
            <w:noProof/>
            <w:webHidden/>
          </w:rPr>
          <w:fldChar w:fldCharType="begin"/>
        </w:r>
        <w:r>
          <w:rPr>
            <w:noProof/>
            <w:webHidden/>
          </w:rPr>
          <w:instrText xml:space="preserve"> PAGEREF _Toc1046947 \h </w:instrText>
        </w:r>
        <w:r>
          <w:rPr>
            <w:noProof/>
            <w:webHidden/>
          </w:rPr>
        </w:r>
        <w:r>
          <w:rPr>
            <w:noProof/>
            <w:webHidden/>
          </w:rPr>
          <w:fldChar w:fldCharType="separate"/>
        </w:r>
        <w:r>
          <w:rPr>
            <w:noProof/>
            <w:webHidden/>
          </w:rPr>
          <w:t>28</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48" w:history="1">
        <w:r w:rsidRPr="00012C21">
          <w:rPr>
            <w:rStyle w:val="Collegamentoipertestuale"/>
            <w:noProof/>
          </w:rPr>
          <w:t>5</w:t>
        </w:r>
        <w:r>
          <w:rPr>
            <w:rFonts w:asciiTheme="minorHAnsi" w:eastAsiaTheme="minorEastAsia" w:hAnsiTheme="minorHAnsi" w:cstheme="minorBidi"/>
            <w:noProof/>
            <w:lang w:eastAsia="it-IT"/>
          </w:rPr>
          <w:tab/>
        </w:r>
        <w:r w:rsidRPr="00012C21">
          <w:rPr>
            <w:rStyle w:val="Collegamentoipertestuale"/>
            <w:noProof/>
          </w:rPr>
          <w:t>Contesto esterno e stakeholder:</w:t>
        </w:r>
        <w:r>
          <w:rPr>
            <w:noProof/>
            <w:webHidden/>
          </w:rPr>
          <w:tab/>
        </w:r>
        <w:r>
          <w:rPr>
            <w:noProof/>
            <w:webHidden/>
          </w:rPr>
          <w:fldChar w:fldCharType="begin"/>
        </w:r>
        <w:r>
          <w:rPr>
            <w:noProof/>
            <w:webHidden/>
          </w:rPr>
          <w:instrText xml:space="preserve"> PAGEREF _Toc1046948 \h </w:instrText>
        </w:r>
        <w:r>
          <w:rPr>
            <w:noProof/>
            <w:webHidden/>
          </w:rPr>
        </w:r>
        <w:r>
          <w:rPr>
            <w:noProof/>
            <w:webHidden/>
          </w:rPr>
          <w:fldChar w:fldCharType="separate"/>
        </w:r>
        <w:r>
          <w:rPr>
            <w:noProof/>
            <w:webHidden/>
          </w:rPr>
          <w:t>28</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49" w:history="1">
        <w:r w:rsidRPr="00012C21">
          <w:rPr>
            <w:rStyle w:val="Collegamentoipertestuale"/>
            <w:noProof/>
          </w:rPr>
          <w:t>6</w:t>
        </w:r>
        <w:r>
          <w:rPr>
            <w:rFonts w:asciiTheme="minorHAnsi" w:eastAsiaTheme="minorEastAsia" w:hAnsiTheme="minorHAnsi" w:cstheme="minorBidi"/>
            <w:noProof/>
            <w:lang w:eastAsia="it-IT"/>
          </w:rPr>
          <w:tab/>
        </w:r>
        <w:r w:rsidRPr="00012C21">
          <w:rPr>
            <w:rStyle w:val="Collegamentoipertestuale"/>
            <w:noProof/>
          </w:rPr>
          <w:t>Il contesto interno dell’ARCEA:</w:t>
        </w:r>
        <w:r>
          <w:rPr>
            <w:noProof/>
            <w:webHidden/>
          </w:rPr>
          <w:tab/>
        </w:r>
        <w:r>
          <w:rPr>
            <w:noProof/>
            <w:webHidden/>
          </w:rPr>
          <w:fldChar w:fldCharType="begin"/>
        </w:r>
        <w:r>
          <w:rPr>
            <w:noProof/>
            <w:webHidden/>
          </w:rPr>
          <w:instrText xml:space="preserve"> PAGEREF _Toc1046949 \h </w:instrText>
        </w:r>
        <w:r>
          <w:rPr>
            <w:noProof/>
            <w:webHidden/>
          </w:rPr>
        </w:r>
        <w:r>
          <w:rPr>
            <w:noProof/>
            <w:webHidden/>
          </w:rPr>
          <w:fldChar w:fldCharType="separate"/>
        </w:r>
        <w:r>
          <w:rPr>
            <w:noProof/>
            <w:webHidden/>
          </w:rPr>
          <w:t>33</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0" w:history="1">
        <w:r w:rsidRPr="00012C21">
          <w:rPr>
            <w:rStyle w:val="Collegamentoipertestuale"/>
            <w:noProof/>
          </w:rPr>
          <w:t>7</w:t>
        </w:r>
        <w:r>
          <w:rPr>
            <w:rFonts w:asciiTheme="minorHAnsi" w:eastAsiaTheme="minorEastAsia" w:hAnsiTheme="minorHAnsi" w:cstheme="minorBidi"/>
            <w:noProof/>
            <w:lang w:eastAsia="it-IT"/>
          </w:rPr>
          <w:tab/>
        </w:r>
        <w:r w:rsidRPr="00012C21">
          <w:rPr>
            <w:rStyle w:val="Collegamentoipertestuale"/>
            <w:noProof/>
          </w:rPr>
          <w:t>Contabilità Analitica in ARCEA (Sezione Sperimentale)</w:t>
        </w:r>
        <w:r>
          <w:rPr>
            <w:noProof/>
            <w:webHidden/>
          </w:rPr>
          <w:tab/>
        </w:r>
        <w:r>
          <w:rPr>
            <w:noProof/>
            <w:webHidden/>
          </w:rPr>
          <w:fldChar w:fldCharType="begin"/>
        </w:r>
        <w:r>
          <w:rPr>
            <w:noProof/>
            <w:webHidden/>
          </w:rPr>
          <w:instrText xml:space="preserve"> PAGEREF _Toc1046950 \h </w:instrText>
        </w:r>
        <w:r>
          <w:rPr>
            <w:noProof/>
            <w:webHidden/>
          </w:rPr>
        </w:r>
        <w:r>
          <w:rPr>
            <w:noProof/>
            <w:webHidden/>
          </w:rPr>
          <w:fldChar w:fldCharType="separate"/>
        </w:r>
        <w:r>
          <w:rPr>
            <w:noProof/>
            <w:webHidden/>
          </w:rPr>
          <w:t>45</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1" w:history="1">
        <w:r w:rsidRPr="00012C21">
          <w:rPr>
            <w:rStyle w:val="Collegamentoipertestuale"/>
            <w:noProof/>
          </w:rPr>
          <w:t>8</w:t>
        </w:r>
        <w:r>
          <w:rPr>
            <w:rFonts w:asciiTheme="minorHAnsi" w:eastAsiaTheme="minorEastAsia" w:hAnsiTheme="minorHAnsi" w:cstheme="minorBidi"/>
            <w:noProof/>
            <w:lang w:eastAsia="it-IT"/>
          </w:rPr>
          <w:tab/>
        </w:r>
        <w:r w:rsidRPr="00012C21">
          <w:rPr>
            <w:rStyle w:val="Collegamentoipertestuale"/>
            <w:noProof/>
          </w:rPr>
          <w:t>Evoluzione temporale degli indicatori di salute finanziaria dell’Agenzia (Sezione Sperimentale)</w:t>
        </w:r>
        <w:r>
          <w:rPr>
            <w:noProof/>
            <w:webHidden/>
          </w:rPr>
          <w:tab/>
        </w:r>
        <w:r>
          <w:rPr>
            <w:noProof/>
            <w:webHidden/>
          </w:rPr>
          <w:fldChar w:fldCharType="begin"/>
        </w:r>
        <w:r>
          <w:rPr>
            <w:noProof/>
            <w:webHidden/>
          </w:rPr>
          <w:instrText xml:space="preserve"> PAGEREF _Toc1046951 \h </w:instrText>
        </w:r>
        <w:r>
          <w:rPr>
            <w:noProof/>
            <w:webHidden/>
          </w:rPr>
        </w:r>
        <w:r>
          <w:rPr>
            <w:noProof/>
            <w:webHidden/>
          </w:rPr>
          <w:fldChar w:fldCharType="separate"/>
        </w:r>
        <w:r>
          <w:rPr>
            <w:noProof/>
            <w:webHidden/>
          </w:rPr>
          <w:t>51</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52" w:history="1">
        <w:r w:rsidRPr="00012C21">
          <w:rPr>
            <w:rStyle w:val="Collegamentoipertestuale"/>
            <w:noProof/>
            <w:snapToGrid w:val="0"/>
            <w:w w:val="0"/>
          </w:rPr>
          <w:t>8.1</w:t>
        </w:r>
        <w:r>
          <w:rPr>
            <w:rFonts w:asciiTheme="minorHAnsi" w:eastAsiaTheme="minorEastAsia" w:hAnsiTheme="minorHAnsi" w:cstheme="minorBidi"/>
            <w:noProof/>
            <w:lang w:eastAsia="it-IT"/>
          </w:rPr>
          <w:tab/>
        </w:r>
        <w:r w:rsidRPr="00012C21">
          <w:rPr>
            <w:rStyle w:val="Collegamentoipertestuale"/>
            <w:noProof/>
          </w:rPr>
          <w:t>Dimensione: Equilibrio economico-finanziario:</w:t>
        </w:r>
        <w:r>
          <w:rPr>
            <w:noProof/>
            <w:webHidden/>
          </w:rPr>
          <w:tab/>
        </w:r>
        <w:r>
          <w:rPr>
            <w:noProof/>
            <w:webHidden/>
          </w:rPr>
          <w:fldChar w:fldCharType="begin"/>
        </w:r>
        <w:r>
          <w:rPr>
            <w:noProof/>
            <w:webHidden/>
          </w:rPr>
          <w:instrText xml:space="preserve"> PAGEREF _Toc1046952 \h </w:instrText>
        </w:r>
        <w:r>
          <w:rPr>
            <w:noProof/>
            <w:webHidden/>
          </w:rPr>
        </w:r>
        <w:r>
          <w:rPr>
            <w:noProof/>
            <w:webHidden/>
          </w:rPr>
          <w:fldChar w:fldCharType="separate"/>
        </w:r>
        <w:r>
          <w:rPr>
            <w:noProof/>
            <w:webHidden/>
          </w:rPr>
          <w:t>51</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53" w:history="1">
        <w:r w:rsidRPr="00012C21">
          <w:rPr>
            <w:rStyle w:val="Collegamentoipertestuale"/>
            <w:noProof/>
            <w:snapToGrid w:val="0"/>
            <w:w w:val="0"/>
          </w:rPr>
          <w:t>8.2</w:t>
        </w:r>
        <w:r>
          <w:rPr>
            <w:rFonts w:asciiTheme="minorHAnsi" w:eastAsiaTheme="minorEastAsia" w:hAnsiTheme="minorHAnsi" w:cstheme="minorBidi"/>
            <w:noProof/>
            <w:lang w:eastAsia="it-IT"/>
          </w:rPr>
          <w:tab/>
        </w:r>
        <w:r w:rsidRPr="00012C21">
          <w:rPr>
            <w:rStyle w:val="Collegamentoipertestuale"/>
            <w:noProof/>
          </w:rPr>
          <w:t>Dimensione: Entrate</w:t>
        </w:r>
        <w:r>
          <w:rPr>
            <w:noProof/>
            <w:webHidden/>
          </w:rPr>
          <w:tab/>
        </w:r>
        <w:r>
          <w:rPr>
            <w:noProof/>
            <w:webHidden/>
          </w:rPr>
          <w:fldChar w:fldCharType="begin"/>
        </w:r>
        <w:r>
          <w:rPr>
            <w:noProof/>
            <w:webHidden/>
          </w:rPr>
          <w:instrText xml:space="preserve"> PAGEREF _Toc1046953 \h </w:instrText>
        </w:r>
        <w:r>
          <w:rPr>
            <w:noProof/>
            <w:webHidden/>
          </w:rPr>
        </w:r>
        <w:r>
          <w:rPr>
            <w:noProof/>
            <w:webHidden/>
          </w:rPr>
          <w:fldChar w:fldCharType="separate"/>
        </w:r>
        <w:r>
          <w:rPr>
            <w:noProof/>
            <w:webHidden/>
          </w:rPr>
          <w:t>52</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54" w:history="1">
        <w:r w:rsidRPr="00012C21">
          <w:rPr>
            <w:rStyle w:val="Collegamentoipertestuale"/>
            <w:noProof/>
            <w:snapToGrid w:val="0"/>
            <w:w w:val="0"/>
          </w:rPr>
          <w:t>8.3</w:t>
        </w:r>
        <w:r>
          <w:rPr>
            <w:rFonts w:asciiTheme="minorHAnsi" w:eastAsiaTheme="minorEastAsia" w:hAnsiTheme="minorHAnsi" w:cstheme="minorBidi"/>
            <w:noProof/>
            <w:lang w:eastAsia="it-IT"/>
          </w:rPr>
          <w:tab/>
        </w:r>
        <w:r w:rsidRPr="00012C21">
          <w:rPr>
            <w:rStyle w:val="Collegamentoipertestuale"/>
            <w:noProof/>
          </w:rPr>
          <w:t>Dimensione: rapporto spese/costi</w:t>
        </w:r>
        <w:r>
          <w:rPr>
            <w:noProof/>
            <w:webHidden/>
          </w:rPr>
          <w:tab/>
        </w:r>
        <w:r>
          <w:rPr>
            <w:noProof/>
            <w:webHidden/>
          </w:rPr>
          <w:fldChar w:fldCharType="begin"/>
        </w:r>
        <w:r>
          <w:rPr>
            <w:noProof/>
            <w:webHidden/>
          </w:rPr>
          <w:instrText xml:space="preserve"> PAGEREF _Toc1046954 \h </w:instrText>
        </w:r>
        <w:r>
          <w:rPr>
            <w:noProof/>
            <w:webHidden/>
          </w:rPr>
        </w:r>
        <w:r>
          <w:rPr>
            <w:noProof/>
            <w:webHidden/>
          </w:rPr>
          <w:fldChar w:fldCharType="separate"/>
        </w:r>
        <w:r>
          <w:rPr>
            <w:noProof/>
            <w:webHidden/>
          </w:rPr>
          <w:t>53</w:t>
        </w:r>
        <w:r>
          <w:rPr>
            <w:noProof/>
            <w:webHidden/>
          </w:rPr>
          <w:fldChar w:fldCharType="end"/>
        </w:r>
      </w:hyperlink>
    </w:p>
    <w:p w:rsidR="007F78C3" w:rsidRDefault="007F78C3">
      <w:pPr>
        <w:pStyle w:val="Sommario2"/>
        <w:tabs>
          <w:tab w:val="left" w:pos="880"/>
          <w:tab w:val="right" w:leader="dot" w:pos="9486"/>
        </w:tabs>
        <w:rPr>
          <w:rFonts w:asciiTheme="minorHAnsi" w:eastAsiaTheme="minorEastAsia" w:hAnsiTheme="minorHAnsi" w:cstheme="minorBidi"/>
          <w:noProof/>
          <w:lang w:eastAsia="it-IT"/>
        </w:rPr>
      </w:pPr>
      <w:hyperlink w:anchor="_Toc1046955" w:history="1">
        <w:r w:rsidRPr="00012C21">
          <w:rPr>
            <w:rStyle w:val="Collegamentoipertestuale"/>
            <w:noProof/>
            <w:snapToGrid w:val="0"/>
            <w:w w:val="0"/>
          </w:rPr>
          <w:t>8.4</w:t>
        </w:r>
        <w:r>
          <w:rPr>
            <w:rFonts w:asciiTheme="minorHAnsi" w:eastAsiaTheme="minorEastAsia" w:hAnsiTheme="minorHAnsi" w:cstheme="minorBidi"/>
            <w:noProof/>
            <w:lang w:eastAsia="it-IT"/>
          </w:rPr>
          <w:tab/>
        </w:r>
        <w:r w:rsidRPr="00012C21">
          <w:rPr>
            <w:rStyle w:val="Collegamentoipertestuale"/>
            <w:noProof/>
          </w:rPr>
          <w:t>Dimensione: patrimonio, indebitamento</w:t>
        </w:r>
        <w:r>
          <w:rPr>
            <w:noProof/>
            <w:webHidden/>
          </w:rPr>
          <w:tab/>
        </w:r>
        <w:r>
          <w:rPr>
            <w:noProof/>
            <w:webHidden/>
          </w:rPr>
          <w:fldChar w:fldCharType="begin"/>
        </w:r>
        <w:r>
          <w:rPr>
            <w:noProof/>
            <w:webHidden/>
          </w:rPr>
          <w:instrText xml:space="preserve"> PAGEREF _Toc1046955 \h </w:instrText>
        </w:r>
        <w:r>
          <w:rPr>
            <w:noProof/>
            <w:webHidden/>
          </w:rPr>
        </w:r>
        <w:r>
          <w:rPr>
            <w:noProof/>
            <w:webHidden/>
          </w:rPr>
          <w:fldChar w:fldCharType="separate"/>
        </w:r>
        <w:r>
          <w:rPr>
            <w:noProof/>
            <w:webHidden/>
          </w:rPr>
          <w:t>53</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6" w:history="1">
        <w:r w:rsidRPr="00012C21">
          <w:rPr>
            <w:rStyle w:val="Collegamentoipertestuale"/>
            <w:noProof/>
          </w:rPr>
          <w:t>PARTE II- Gli obiettivi dell’ARCEA</w:t>
        </w:r>
        <w:r>
          <w:rPr>
            <w:noProof/>
            <w:webHidden/>
          </w:rPr>
          <w:tab/>
        </w:r>
        <w:r>
          <w:rPr>
            <w:noProof/>
            <w:webHidden/>
          </w:rPr>
          <w:fldChar w:fldCharType="begin"/>
        </w:r>
        <w:r>
          <w:rPr>
            <w:noProof/>
            <w:webHidden/>
          </w:rPr>
          <w:instrText xml:space="preserve"> PAGEREF _Toc1046956 \h </w:instrText>
        </w:r>
        <w:r>
          <w:rPr>
            <w:noProof/>
            <w:webHidden/>
          </w:rPr>
        </w:r>
        <w:r>
          <w:rPr>
            <w:noProof/>
            <w:webHidden/>
          </w:rPr>
          <w:fldChar w:fldCharType="separate"/>
        </w:r>
        <w:r>
          <w:rPr>
            <w:noProof/>
            <w:webHidden/>
          </w:rPr>
          <w:t>55</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7" w:history="1">
        <w:r w:rsidRPr="00012C21">
          <w:rPr>
            <w:rStyle w:val="Collegamentoipertestuale"/>
            <w:noProof/>
          </w:rPr>
          <w:t>1</w:t>
        </w:r>
        <w:r>
          <w:rPr>
            <w:rFonts w:asciiTheme="minorHAnsi" w:eastAsiaTheme="minorEastAsia" w:hAnsiTheme="minorHAnsi" w:cstheme="minorBidi"/>
            <w:noProof/>
            <w:lang w:eastAsia="it-IT"/>
          </w:rPr>
          <w:tab/>
        </w:r>
        <w:r w:rsidRPr="00012C21">
          <w:rPr>
            <w:rStyle w:val="Collegamentoipertestuale"/>
            <w:noProof/>
          </w:rPr>
          <w:t>La scelta degli obiettivi</w:t>
        </w:r>
        <w:r>
          <w:rPr>
            <w:noProof/>
            <w:webHidden/>
          </w:rPr>
          <w:tab/>
        </w:r>
        <w:r>
          <w:rPr>
            <w:noProof/>
            <w:webHidden/>
          </w:rPr>
          <w:fldChar w:fldCharType="begin"/>
        </w:r>
        <w:r>
          <w:rPr>
            <w:noProof/>
            <w:webHidden/>
          </w:rPr>
          <w:instrText xml:space="preserve"> PAGEREF _Toc1046957 \h </w:instrText>
        </w:r>
        <w:r>
          <w:rPr>
            <w:noProof/>
            <w:webHidden/>
          </w:rPr>
        </w:r>
        <w:r>
          <w:rPr>
            <w:noProof/>
            <w:webHidden/>
          </w:rPr>
          <w:fldChar w:fldCharType="separate"/>
        </w:r>
        <w:r>
          <w:rPr>
            <w:noProof/>
            <w:webHidden/>
          </w:rPr>
          <w:t>56</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8" w:history="1">
        <w:r w:rsidRPr="00012C21">
          <w:rPr>
            <w:rStyle w:val="Collegamentoipertestuale"/>
            <w:noProof/>
          </w:rPr>
          <w:t>2</w:t>
        </w:r>
        <w:r>
          <w:rPr>
            <w:rFonts w:asciiTheme="minorHAnsi" w:eastAsiaTheme="minorEastAsia" w:hAnsiTheme="minorHAnsi" w:cstheme="minorBidi"/>
            <w:noProof/>
            <w:lang w:eastAsia="it-IT"/>
          </w:rPr>
          <w:tab/>
        </w:r>
        <w:r w:rsidRPr="00012C21">
          <w:rPr>
            <w:rStyle w:val="Collegamentoipertestuale"/>
            <w:noProof/>
          </w:rPr>
          <w:t>Obiettivi Strategici</w:t>
        </w:r>
        <w:r>
          <w:rPr>
            <w:noProof/>
            <w:webHidden/>
          </w:rPr>
          <w:tab/>
        </w:r>
        <w:r>
          <w:rPr>
            <w:noProof/>
            <w:webHidden/>
          </w:rPr>
          <w:fldChar w:fldCharType="begin"/>
        </w:r>
        <w:r>
          <w:rPr>
            <w:noProof/>
            <w:webHidden/>
          </w:rPr>
          <w:instrText xml:space="preserve"> PAGEREF _Toc1046958 \h </w:instrText>
        </w:r>
        <w:r>
          <w:rPr>
            <w:noProof/>
            <w:webHidden/>
          </w:rPr>
        </w:r>
        <w:r>
          <w:rPr>
            <w:noProof/>
            <w:webHidden/>
          </w:rPr>
          <w:fldChar w:fldCharType="separate"/>
        </w:r>
        <w:r>
          <w:rPr>
            <w:noProof/>
            <w:webHidden/>
          </w:rPr>
          <w:t>56</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59" w:history="1">
        <w:r w:rsidRPr="00012C21">
          <w:rPr>
            <w:rStyle w:val="Collegamentoipertestuale"/>
            <w:noProof/>
          </w:rPr>
          <w:t>3</w:t>
        </w:r>
        <w:r>
          <w:rPr>
            <w:rFonts w:asciiTheme="minorHAnsi" w:eastAsiaTheme="minorEastAsia" w:hAnsiTheme="minorHAnsi" w:cstheme="minorBidi"/>
            <w:noProof/>
            <w:lang w:eastAsia="it-IT"/>
          </w:rPr>
          <w:tab/>
        </w:r>
        <w:r w:rsidRPr="00012C21">
          <w:rPr>
            <w:rStyle w:val="Collegamentoipertestuale"/>
            <w:noProof/>
          </w:rPr>
          <w:t>Dagli obiettivi strategici agli obiettivi operativi</w:t>
        </w:r>
        <w:r>
          <w:rPr>
            <w:noProof/>
            <w:webHidden/>
          </w:rPr>
          <w:tab/>
        </w:r>
        <w:r>
          <w:rPr>
            <w:noProof/>
            <w:webHidden/>
          </w:rPr>
          <w:fldChar w:fldCharType="begin"/>
        </w:r>
        <w:r>
          <w:rPr>
            <w:noProof/>
            <w:webHidden/>
          </w:rPr>
          <w:instrText xml:space="preserve"> PAGEREF _Toc1046959 \h </w:instrText>
        </w:r>
        <w:r>
          <w:rPr>
            <w:noProof/>
            <w:webHidden/>
          </w:rPr>
        </w:r>
        <w:r>
          <w:rPr>
            <w:noProof/>
            <w:webHidden/>
          </w:rPr>
          <w:fldChar w:fldCharType="separate"/>
        </w:r>
        <w:r>
          <w:rPr>
            <w:noProof/>
            <w:webHidden/>
          </w:rPr>
          <w:t>59</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60" w:history="1">
        <w:r w:rsidRPr="00012C21">
          <w:rPr>
            <w:rStyle w:val="Collegamentoipertestuale"/>
            <w:noProof/>
          </w:rPr>
          <w:t>4</w:t>
        </w:r>
        <w:r>
          <w:rPr>
            <w:rFonts w:asciiTheme="minorHAnsi" w:eastAsiaTheme="minorEastAsia" w:hAnsiTheme="minorHAnsi" w:cstheme="minorBidi"/>
            <w:noProof/>
            <w:lang w:eastAsia="it-IT"/>
          </w:rPr>
          <w:tab/>
        </w:r>
        <w:r w:rsidRPr="00012C21">
          <w:rPr>
            <w:rStyle w:val="Collegamentoipertestuale"/>
            <w:noProof/>
          </w:rPr>
          <w:t>La scelta degli indicatori</w:t>
        </w:r>
        <w:r>
          <w:rPr>
            <w:noProof/>
            <w:webHidden/>
          </w:rPr>
          <w:tab/>
        </w:r>
        <w:r>
          <w:rPr>
            <w:noProof/>
            <w:webHidden/>
          </w:rPr>
          <w:fldChar w:fldCharType="begin"/>
        </w:r>
        <w:r>
          <w:rPr>
            <w:noProof/>
            <w:webHidden/>
          </w:rPr>
          <w:instrText xml:space="preserve"> PAGEREF _Toc1046960 \h </w:instrText>
        </w:r>
        <w:r>
          <w:rPr>
            <w:noProof/>
            <w:webHidden/>
          </w:rPr>
        </w:r>
        <w:r>
          <w:rPr>
            <w:noProof/>
            <w:webHidden/>
          </w:rPr>
          <w:fldChar w:fldCharType="separate"/>
        </w:r>
        <w:r>
          <w:rPr>
            <w:noProof/>
            <w:webHidden/>
          </w:rPr>
          <w:t>62</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61" w:history="1">
        <w:r w:rsidRPr="00012C21">
          <w:rPr>
            <w:rStyle w:val="Collegamentoipertestuale"/>
            <w:noProof/>
          </w:rPr>
          <w:t>5</w:t>
        </w:r>
        <w:r>
          <w:rPr>
            <w:rFonts w:asciiTheme="minorHAnsi" w:eastAsiaTheme="minorEastAsia" w:hAnsiTheme="minorHAnsi" w:cstheme="minorBidi"/>
            <w:noProof/>
            <w:lang w:eastAsia="it-IT"/>
          </w:rPr>
          <w:tab/>
        </w:r>
        <w:r w:rsidRPr="00012C21">
          <w:rPr>
            <w:rStyle w:val="Collegamentoipertestuale"/>
            <w:noProof/>
          </w:rPr>
          <w:t>La scelta dei target</w:t>
        </w:r>
        <w:r>
          <w:rPr>
            <w:noProof/>
            <w:webHidden/>
          </w:rPr>
          <w:tab/>
        </w:r>
        <w:r>
          <w:rPr>
            <w:noProof/>
            <w:webHidden/>
          </w:rPr>
          <w:fldChar w:fldCharType="begin"/>
        </w:r>
        <w:r>
          <w:rPr>
            <w:noProof/>
            <w:webHidden/>
          </w:rPr>
          <w:instrText xml:space="preserve"> PAGEREF _Toc1046961 \h </w:instrText>
        </w:r>
        <w:r>
          <w:rPr>
            <w:noProof/>
            <w:webHidden/>
          </w:rPr>
        </w:r>
        <w:r>
          <w:rPr>
            <w:noProof/>
            <w:webHidden/>
          </w:rPr>
          <w:fldChar w:fldCharType="separate"/>
        </w:r>
        <w:r>
          <w:rPr>
            <w:noProof/>
            <w:webHidden/>
          </w:rPr>
          <w:t>67</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62" w:history="1">
        <w:r w:rsidRPr="00012C21">
          <w:rPr>
            <w:rStyle w:val="Collegamentoipertestuale"/>
            <w:noProof/>
          </w:rPr>
          <w:t>6</w:t>
        </w:r>
        <w:r>
          <w:rPr>
            <w:rFonts w:asciiTheme="minorHAnsi" w:eastAsiaTheme="minorEastAsia" w:hAnsiTheme="minorHAnsi" w:cstheme="minorBidi"/>
            <w:noProof/>
            <w:lang w:eastAsia="it-IT"/>
          </w:rPr>
          <w:tab/>
        </w:r>
        <w:r w:rsidRPr="00012C21">
          <w:rPr>
            <w:rStyle w:val="Collegamentoipertestuale"/>
            <w:noProof/>
          </w:rPr>
          <w:t>Tabelle di sintesi</w:t>
        </w:r>
        <w:r>
          <w:rPr>
            <w:noProof/>
            <w:webHidden/>
          </w:rPr>
          <w:tab/>
        </w:r>
        <w:r>
          <w:rPr>
            <w:noProof/>
            <w:webHidden/>
          </w:rPr>
          <w:fldChar w:fldCharType="begin"/>
        </w:r>
        <w:r>
          <w:rPr>
            <w:noProof/>
            <w:webHidden/>
          </w:rPr>
          <w:instrText xml:space="preserve"> PAGEREF _Toc1046962 \h </w:instrText>
        </w:r>
        <w:r>
          <w:rPr>
            <w:noProof/>
            <w:webHidden/>
          </w:rPr>
        </w:r>
        <w:r>
          <w:rPr>
            <w:noProof/>
            <w:webHidden/>
          </w:rPr>
          <w:fldChar w:fldCharType="separate"/>
        </w:r>
        <w:r>
          <w:rPr>
            <w:noProof/>
            <w:webHidden/>
          </w:rPr>
          <w:t>68</w:t>
        </w:r>
        <w:r>
          <w:rPr>
            <w:noProof/>
            <w:webHidden/>
          </w:rPr>
          <w:fldChar w:fldCharType="end"/>
        </w:r>
      </w:hyperlink>
    </w:p>
    <w:p w:rsidR="007F78C3" w:rsidRDefault="007F78C3">
      <w:pPr>
        <w:pStyle w:val="Sommario1"/>
        <w:rPr>
          <w:rFonts w:asciiTheme="minorHAnsi" w:eastAsiaTheme="minorEastAsia" w:hAnsiTheme="minorHAnsi" w:cstheme="minorBidi"/>
          <w:noProof/>
          <w:lang w:eastAsia="it-IT"/>
        </w:rPr>
      </w:pPr>
      <w:hyperlink w:anchor="_Toc1046963" w:history="1">
        <w:r w:rsidRPr="00012C21">
          <w:rPr>
            <w:rStyle w:val="Collegamentoipertestuale"/>
            <w:noProof/>
          </w:rPr>
          <w:t>7</w:t>
        </w:r>
        <w:r>
          <w:rPr>
            <w:rFonts w:asciiTheme="minorHAnsi" w:eastAsiaTheme="minorEastAsia" w:hAnsiTheme="minorHAnsi" w:cstheme="minorBidi"/>
            <w:noProof/>
            <w:lang w:eastAsia="it-IT"/>
          </w:rPr>
          <w:tab/>
        </w:r>
        <w:r w:rsidRPr="00012C21">
          <w:rPr>
            <w:rStyle w:val="Collegamentoipertestuale"/>
            <w:noProof/>
          </w:rPr>
          <w:t>Il processo seguito nel ciclo di gestione delle performance</w:t>
        </w:r>
        <w:r>
          <w:rPr>
            <w:noProof/>
            <w:webHidden/>
          </w:rPr>
          <w:tab/>
        </w:r>
        <w:r>
          <w:rPr>
            <w:noProof/>
            <w:webHidden/>
          </w:rPr>
          <w:fldChar w:fldCharType="begin"/>
        </w:r>
        <w:r>
          <w:rPr>
            <w:noProof/>
            <w:webHidden/>
          </w:rPr>
          <w:instrText xml:space="preserve"> PAGEREF _Toc1046963 \h </w:instrText>
        </w:r>
        <w:r>
          <w:rPr>
            <w:noProof/>
            <w:webHidden/>
          </w:rPr>
        </w:r>
        <w:r>
          <w:rPr>
            <w:noProof/>
            <w:webHidden/>
          </w:rPr>
          <w:fldChar w:fldCharType="separate"/>
        </w:r>
        <w:r>
          <w:rPr>
            <w:noProof/>
            <w:webHidden/>
          </w:rPr>
          <w:t>96</w:t>
        </w:r>
        <w:r>
          <w:rPr>
            <w:noProof/>
            <w:webHidden/>
          </w:rPr>
          <w:fldChar w:fldCharType="end"/>
        </w:r>
      </w:hyperlink>
    </w:p>
    <w:p w:rsidR="001378E6" w:rsidRDefault="0096592E" w:rsidP="002F58B2">
      <w:r w:rsidRPr="003C3367">
        <w:fldChar w:fldCharType="end"/>
      </w:r>
    </w:p>
    <w:p w:rsidR="001378E6" w:rsidRDefault="001378E6" w:rsidP="003C3367">
      <w:pPr>
        <w:rPr>
          <w:rFonts w:ascii="Times New Roman" w:hAnsi="Times New Roman"/>
          <w:sz w:val="24"/>
          <w:szCs w:val="24"/>
        </w:rPr>
      </w:pPr>
      <w:r>
        <w:br w:type="page"/>
      </w:r>
    </w:p>
    <w:p w:rsidR="0080787B" w:rsidRPr="00E63330" w:rsidRDefault="0096592E" w:rsidP="002F58B2">
      <w:pPr>
        <w:pStyle w:val="Titolo1"/>
      </w:pPr>
      <w:bookmarkStart w:id="1" w:name="_Toc1046928"/>
      <w:r w:rsidRPr="003C3367">
        <w:lastRenderedPageBreak/>
        <w:t>Introduzione</w:t>
      </w:r>
      <w:bookmarkEnd w:id="1"/>
    </w:p>
    <w:p w:rsidR="0080787B" w:rsidRPr="00E63330" w:rsidRDefault="0080787B" w:rsidP="0080787B">
      <w:pPr>
        <w:autoSpaceDE w:val="0"/>
        <w:autoSpaceDN w:val="0"/>
        <w:adjustRightInd w:val="0"/>
        <w:spacing w:after="0" w:line="240" w:lineRule="auto"/>
        <w:rPr>
          <w:rFonts w:ascii="Times New Roman" w:hAnsi="Times New Roman"/>
          <w:b/>
          <w:bCs/>
          <w:sz w:val="24"/>
          <w:szCs w:val="24"/>
          <w:lang w:eastAsia="it-IT"/>
        </w:rPr>
      </w:pPr>
    </w:p>
    <w:p w:rsidR="0080787B" w:rsidRPr="00E63330" w:rsidRDefault="0096592E" w:rsidP="00DE3766">
      <w:pPr>
        <w:pStyle w:val="Titolo2"/>
      </w:pPr>
      <w:bookmarkStart w:id="2" w:name="_Toc1046929"/>
      <w:r w:rsidRPr="003C3367">
        <w:t>Inquadramento</w:t>
      </w:r>
      <w:bookmarkEnd w:id="2"/>
    </w:p>
    <w:p w:rsidR="0080787B" w:rsidRPr="00E63330"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rsidR="0080787B" w:rsidRPr="00E63330" w:rsidRDefault="0096592E" w:rsidP="00310C81">
      <w:pPr>
        <w:pStyle w:val="Titolo3"/>
      </w:pPr>
      <w:bookmarkStart w:id="3" w:name="_Toc1046930"/>
      <w:r w:rsidRPr="003C3367">
        <w:t>1.1.1 Principi generali</w:t>
      </w:r>
      <w:bookmarkEnd w:id="3"/>
    </w:p>
    <w:p w:rsidR="0080787B" w:rsidRPr="00E63330" w:rsidRDefault="0096592E" w:rsidP="00EC7C6C">
      <w:pPr>
        <w:autoSpaceDE w:val="0"/>
        <w:autoSpaceDN w:val="0"/>
        <w:adjustRightInd w:val="0"/>
        <w:spacing w:after="120"/>
        <w:jc w:val="both"/>
        <w:rPr>
          <w:rFonts w:ascii="Times New Roman" w:hAnsi="Times New Roman"/>
          <w:iCs/>
          <w:sz w:val="24"/>
          <w:szCs w:val="24"/>
          <w:lang w:eastAsia="it-IT"/>
        </w:rPr>
      </w:pPr>
      <w:r w:rsidRPr="003C3367">
        <w:rPr>
          <w:rFonts w:ascii="Times New Roman" w:hAnsi="Times New Roman"/>
          <w:sz w:val="24"/>
          <w:szCs w:val="24"/>
          <w:lang w:eastAsia="it-IT"/>
        </w:rPr>
        <w:t xml:space="preserve">Il Piano della Performance è lo strumento che dà avvio al Ciclo di </w:t>
      </w:r>
      <w:r w:rsidRPr="003C3367">
        <w:rPr>
          <w:rFonts w:ascii="Times New Roman" w:hAnsi="Times New Roman"/>
          <w:i/>
          <w:iCs/>
          <w:sz w:val="24"/>
          <w:szCs w:val="24"/>
          <w:lang w:eastAsia="it-IT"/>
        </w:rPr>
        <w:t xml:space="preserve">gestione della performance, </w:t>
      </w:r>
      <w:r w:rsidRPr="003C3367">
        <w:rPr>
          <w:rFonts w:ascii="Times New Roman" w:hAnsi="Times New Roman"/>
          <w:iCs/>
          <w:sz w:val="24"/>
          <w:szCs w:val="24"/>
          <w:lang w:eastAsia="it-IT"/>
        </w:rPr>
        <w:t xml:space="preserve">in coerenza con quanto disposto dall’art.4 del D.lgs. n. 150/2009, recentemente modificato dal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r w:rsidRPr="003C3367">
        <w:rPr>
          <w:rFonts w:ascii="Times New Roman" w:hAnsi="Times New Roman"/>
          <w:iCs/>
          <w:sz w:val="24"/>
          <w:szCs w:val="24"/>
          <w:lang w:eastAsia="it-IT"/>
        </w:rPr>
        <w:t>.</w:t>
      </w:r>
    </w:p>
    <w:p w:rsidR="00E94527" w:rsidRPr="00E63330" w:rsidRDefault="0096592E" w:rsidP="003C3367">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sz w:val="24"/>
          <w:szCs w:val="24"/>
          <w:lang w:eastAsia="it-IT"/>
        </w:rPr>
        <w:t xml:space="preserve">È un documento programmatico nel quale sono indicati gli obiettivi, gli indicatori ed i target di riferimento dell’ARCEA, fornendo gli elementi fondamentali sui quali si baserà poi la misurazione, la valutazione e la rendicontazione della </w:t>
      </w:r>
      <w:r w:rsidRPr="003C3367">
        <w:rPr>
          <w:rFonts w:ascii="Times New Roman" w:hAnsi="Times New Roman"/>
          <w:i/>
          <w:iCs/>
          <w:sz w:val="24"/>
          <w:szCs w:val="24"/>
          <w:lang w:eastAsia="it-IT"/>
        </w:rPr>
        <w:t>performance</w:t>
      </w:r>
      <w:r w:rsidRPr="003C3367">
        <w:rPr>
          <w:rFonts w:ascii="Times New Roman" w:hAnsi="Times New Roman"/>
          <w:sz w:val="24"/>
          <w:szCs w:val="24"/>
          <w:lang w:eastAsia="it-IT"/>
        </w:rPr>
        <w:t>, cioè il contributo che l’amministrazione nel suo complesso, ma anche per mezzo delle Funzioni/Servizi/Uffici di cui si compone, intende fornire alla collettività, attraverso la propria azione strategica ed amministrativa.</w:t>
      </w:r>
      <w:r w:rsidR="00E94527">
        <w:rPr>
          <w:rFonts w:ascii="Times New Roman" w:hAnsi="Times New Roman"/>
          <w:sz w:val="24"/>
          <w:szCs w:val="24"/>
          <w:lang w:eastAsia="it-IT"/>
        </w:rPr>
        <w:t xml:space="preserve"> Il Piano ha, quindi, il compito fondamentale di costituire una visione comune tra la Direzione ed il personale per quanto concerne le finalità e gli obiettivi da raggiungere, a breve e medio termine, ed è, quindi, uno strumento per orientare le azioni ed i comportamenti. </w:t>
      </w:r>
    </w:p>
    <w:p w:rsidR="0080787B"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La parte generale del Piano ha lo scopo di inquadrare il posizionamento strategico, interno ed esterno,</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dell’Ente, di delineare il quadro dei compiti e delle responsabilità definite nell’ambito del </w:t>
      </w:r>
      <w:r w:rsidRPr="003C3367">
        <w:rPr>
          <w:rFonts w:ascii="Times New Roman" w:hAnsi="Times New Roman"/>
          <w:i/>
          <w:iCs/>
          <w:sz w:val="24"/>
          <w:szCs w:val="24"/>
          <w:lang w:eastAsia="it-IT"/>
        </w:rPr>
        <w:t>Ciclo di gestione</w:t>
      </w:r>
      <w:r w:rsidR="00D12431">
        <w:rPr>
          <w:rFonts w:ascii="Times New Roman" w:hAnsi="Times New Roman"/>
          <w:i/>
          <w:iCs/>
          <w:sz w:val="24"/>
          <w:szCs w:val="24"/>
          <w:lang w:eastAsia="it-IT"/>
        </w:rPr>
        <w:t xml:space="preserve"> </w:t>
      </w:r>
      <w:r w:rsidRPr="003C3367">
        <w:rPr>
          <w:rFonts w:ascii="Times New Roman" w:hAnsi="Times New Roman"/>
          <w:i/>
          <w:iCs/>
          <w:sz w:val="24"/>
          <w:szCs w:val="24"/>
          <w:lang w:eastAsia="it-IT"/>
        </w:rPr>
        <w:t xml:space="preserve">della performance </w:t>
      </w:r>
      <w:r w:rsidRPr="003C3367">
        <w:rPr>
          <w:rFonts w:ascii="Times New Roman" w:hAnsi="Times New Roman"/>
          <w:sz w:val="24"/>
          <w:szCs w:val="24"/>
          <w:lang w:eastAsia="it-IT"/>
        </w:rPr>
        <w:t>e di descrivere la struttura organizzativa dell’ARCEA, in base alla quale vengono costruitigli obiettivi di performance.</w:t>
      </w:r>
      <w:r w:rsidR="00E94527">
        <w:rPr>
          <w:rFonts w:ascii="Times New Roman" w:hAnsi="Times New Roman"/>
          <w:sz w:val="24"/>
          <w:szCs w:val="24"/>
          <w:lang w:eastAsia="it-IT"/>
        </w:rPr>
        <w:t xml:space="preserve"> </w:t>
      </w:r>
    </w:p>
    <w:p w:rsidR="00D7030C"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Il Piano</w:t>
      </w:r>
      <w:r w:rsidR="001378E6">
        <w:rPr>
          <w:rFonts w:ascii="Times New Roman" w:hAnsi="Times New Roman"/>
          <w:sz w:val="24"/>
          <w:szCs w:val="24"/>
          <w:lang w:eastAsia="it-IT"/>
        </w:rPr>
        <w:t xml:space="preserve">, </w:t>
      </w:r>
      <w:r w:rsidR="001378E6" w:rsidRPr="001378E6">
        <w:rPr>
          <w:rFonts w:ascii="Times New Roman" w:hAnsi="Times New Roman"/>
          <w:sz w:val="24"/>
          <w:szCs w:val="24"/>
          <w:lang w:eastAsia="it-IT"/>
        </w:rPr>
        <w:t>adottato dalla Direzione dell’ARCEA attraverso apposito Decreto</w:t>
      </w:r>
      <w:r w:rsidR="001378E6">
        <w:rPr>
          <w:rFonts w:ascii="Times New Roman" w:hAnsi="Times New Roman"/>
          <w:sz w:val="24"/>
          <w:szCs w:val="24"/>
          <w:lang w:eastAsia="it-IT"/>
        </w:rPr>
        <w:t>,</w:t>
      </w:r>
      <w:r w:rsidR="001378E6" w:rsidRP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ha due allegati finalizzati a rendere fruibili i contenuti del documento alle diverse tipologie di </w:t>
      </w:r>
      <w:proofErr w:type="spellStart"/>
      <w:r w:rsidRPr="003C3367">
        <w:rPr>
          <w:rFonts w:ascii="Times New Roman" w:hAnsi="Times New Roman"/>
          <w:sz w:val="24"/>
          <w:szCs w:val="24"/>
          <w:lang w:eastAsia="it-IT"/>
        </w:rPr>
        <w:t>stakeholders</w:t>
      </w:r>
      <w:proofErr w:type="spellEnd"/>
      <w:r w:rsidRPr="003C3367">
        <w:rPr>
          <w:rFonts w:ascii="Times New Roman" w:hAnsi="Times New Roman"/>
          <w:sz w:val="24"/>
          <w:szCs w:val="24"/>
          <w:lang w:eastAsia="it-IT"/>
        </w:rPr>
        <w:t xml:space="preserve">. </w:t>
      </w:r>
    </w:p>
    <w:p w:rsidR="00C90413" w:rsidRPr="00E63330" w:rsidRDefault="00C90413" w:rsidP="00C90413">
      <w:pPr>
        <w:autoSpaceDE w:val="0"/>
        <w:autoSpaceDN w:val="0"/>
        <w:adjustRightInd w:val="0"/>
        <w:spacing w:after="120"/>
        <w:jc w:val="both"/>
        <w:rPr>
          <w:rFonts w:ascii="Times New Roman" w:hAnsi="Times New Roman"/>
          <w:sz w:val="24"/>
          <w:szCs w:val="24"/>
          <w:lang w:eastAsia="it-IT"/>
        </w:rPr>
      </w:pPr>
    </w:p>
    <w:p w:rsidR="00FB2C09" w:rsidRPr="00E63330" w:rsidRDefault="0096592E" w:rsidP="006E6FF9">
      <w:pPr>
        <w:pStyle w:val="Titolo3"/>
      </w:pPr>
      <w:bookmarkStart w:id="4" w:name="_Toc1046931"/>
      <w:r w:rsidRPr="003C3367">
        <w:t>1.1.2 Contesto normativo</w:t>
      </w:r>
      <w:bookmarkEnd w:id="4"/>
    </w:p>
    <w:p w:rsidR="006E6FF9" w:rsidRPr="003C3367" w:rsidRDefault="0096592E" w:rsidP="006E6FF9">
      <w:pPr>
        <w:rPr>
          <w:rFonts w:ascii="Times New Roman" w:hAnsi="Times New Roman"/>
          <w:b/>
          <w:sz w:val="24"/>
          <w:szCs w:val="24"/>
          <w:u w:val="single"/>
        </w:rPr>
      </w:pPr>
      <w:r w:rsidRPr="003C3367">
        <w:rPr>
          <w:rFonts w:ascii="Times New Roman" w:hAnsi="Times New Roman"/>
          <w:b/>
          <w:sz w:val="24"/>
          <w:szCs w:val="24"/>
          <w:u w:val="single"/>
        </w:rPr>
        <w:t xml:space="preserve">Il </w:t>
      </w:r>
      <w:proofErr w:type="spellStart"/>
      <w:r w:rsidRPr="003C3367">
        <w:rPr>
          <w:rFonts w:ascii="Times New Roman" w:hAnsi="Times New Roman"/>
          <w:b/>
          <w:sz w:val="24"/>
          <w:szCs w:val="24"/>
          <w:u w:val="single"/>
          <w:lang w:eastAsia="it-IT"/>
        </w:rPr>
        <w:t>D.Lgs.</w:t>
      </w:r>
      <w:proofErr w:type="spellEnd"/>
      <w:r w:rsidRPr="003C3367">
        <w:rPr>
          <w:rFonts w:ascii="Times New Roman" w:hAnsi="Times New Roman"/>
          <w:b/>
          <w:sz w:val="24"/>
          <w:szCs w:val="24"/>
          <w:u w:val="single"/>
          <w:lang w:eastAsia="it-IT"/>
        </w:rPr>
        <w:t xml:space="preserve"> n. 74/2017</w:t>
      </w:r>
    </w:p>
    <w:p w:rsidR="00C11F73" w:rsidRPr="00E63330" w:rsidRDefault="0096592E" w:rsidP="002C3A06">
      <w:pPr>
        <w:jc w:val="both"/>
        <w:rPr>
          <w:rFonts w:ascii="Times New Roman" w:hAnsi="Times New Roman"/>
          <w:sz w:val="24"/>
          <w:szCs w:val="24"/>
          <w:lang w:eastAsia="it-IT"/>
        </w:rPr>
      </w:pPr>
      <w:r w:rsidRPr="003C3367">
        <w:rPr>
          <w:rFonts w:ascii="Times New Roman" w:hAnsi="Times New Roman"/>
          <w:sz w:val="24"/>
          <w:szCs w:val="24"/>
          <w:lang w:eastAsia="it-IT"/>
        </w:rPr>
        <w:t xml:space="preserve">L’entrata in vigore del </w:t>
      </w:r>
      <w:bookmarkStart w:id="5" w:name="OLE_LINK79"/>
      <w:bookmarkStart w:id="6" w:name="OLE_LINK97"/>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 </w:t>
      </w:r>
      <w:bookmarkEnd w:id="5"/>
      <w:bookmarkEnd w:id="6"/>
      <w:r w:rsidRPr="003C3367">
        <w:rPr>
          <w:rFonts w:ascii="Times New Roman" w:hAnsi="Times New Roman"/>
          <w:sz w:val="24"/>
          <w:szCs w:val="24"/>
          <w:lang w:eastAsia="it-IT"/>
        </w:rPr>
        <w:t xml:space="preserve">in attuazione dei principi e criteri direttivi previsti dall’art. 17, comma 1, </w:t>
      </w:r>
      <w:proofErr w:type="spellStart"/>
      <w:r w:rsidRPr="003C3367">
        <w:rPr>
          <w:rFonts w:ascii="Times New Roman" w:hAnsi="Times New Roman"/>
          <w:sz w:val="24"/>
          <w:szCs w:val="24"/>
          <w:lang w:eastAsia="it-IT"/>
        </w:rPr>
        <w:t>lett</w:t>
      </w:r>
      <w:proofErr w:type="spellEnd"/>
      <w:r w:rsidRPr="003C3367">
        <w:rPr>
          <w:rFonts w:ascii="Times New Roman" w:hAnsi="Times New Roman"/>
          <w:sz w:val="24"/>
          <w:szCs w:val="24"/>
          <w:lang w:eastAsia="it-IT"/>
        </w:rPr>
        <w:t xml:space="preserve">. r), Legge 7 agosto 2015, n. 124, intervenuto in modifica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ha reso necessari, a partire dal ciclo delle Performance 2018, interventi di adeguamento al Sistema di misurazione e valutazione della performance organizzativa e individuale, che si riflettono sui contenuti del Piano.</w:t>
      </w:r>
    </w:p>
    <w:p w:rsidR="00C11F73" w:rsidRPr="00E63330" w:rsidRDefault="0096592E" w:rsidP="0028440C">
      <w:pPr>
        <w:jc w:val="both"/>
        <w:rPr>
          <w:rFonts w:ascii="Times New Roman" w:hAnsi="Times New Roman"/>
          <w:sz w:val="24"/>
          <w:szCs w:val="24"/>
          <w:lang w:eastAsia="it-IT"/>
        </w:rPr>
      </w:pPr>
      <w:r w:rsidRPr="003C3367">
        <w:rPr>
          <w:rFonts w:ascii="Times New Roman" w:hAnsi="Times New Roman"/>
          <w:sz w:val="24"/>
          <w:szCs w:val="24"/>
          <w:lang w:eastAsia="it-IT"/>
        </w:rPr>
        <w:t xml:space="preserve">In particolare, </w:t>
      </w:r>
      <w:r w:rsidR="001378E6">
        <w:rPr>
          <w:rFonts w:ascii="Times New Roman" w:hAnsi="Times New Roman"/>
          <w:sz w:val="24"/>
          <w:szCs w:val="24"/>
          <w:lang w:eastAsia="it-IT"/>
        </w:rPr>
        <w:t>l</w:t>
      </w:r>
      <w:r w:rsidRPr="003C3367">
        <w:rPr>
          <w:rFonts w:ascii="Times New Roman" w:hAnsi="Times New Roman"/>
          <w:sz w:val="24"/>
          <w:szCs w:val="24"/>
          <w:lang w:eastAsia="it-IT"/>
        </w:rPr>
        <w:t xml:space="preserve">’art. 16 </w:t>
      </w:r>
      <w:r w:rsidR="001378E6" w:rsidRPr="0096592E">
        <w:rPr>
          <w:rFonts w:ascii="Times New Roman" w:hAnsi="Times New Roman"/>
          <w:sz w:val="24"/>
          <w:szCs w:val="24"/>
          <w:lang w:eastAsia="it-IT"/>
        </w:rPr>
        <w:t xml:space="preserve">del </w:t>
      </w:r>
      <w:proofErr w:type="spellStart"/>
      <w:r w:rsidR="001378E6" w:rsidRPr="0096592E">
        <w:rPr>
          <w:rFonts w:ascii="Times New Roman" w:hAnsi="Times New Roman"/>
          <w:sz w:val="24"/>
          <w:szCs w:val="24"/>
          <w:lang w:eastAsia="it-IT"/>
        </w:rPr>
        <w:t>D.Lgs.</w:t>
      </w:r>
      <w:proofErr w:type="spellEnd"/>
      <w:r w:rsidR="001378E6" w:rsidRPr="0096592E">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riformulato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w:t>
      </w:r>
      <w:r w:rsidRPr="003C3367">
        <w:rPr>
          <w:rFonts w:ascii="Times New Roman" w:hAnsi="Times New Roman"/>
          <w:sz w:val="24"/>
          <w:szCs w:val="24"/>
          <w:lang w:eastAsia="it-IT"/>
        </w:rPr>
        <w:t xml:space="preserve"> al secondo comma prevede che l’adeguamento avvenga in due fasi:</w:t>
      </w:r>
    </w:p>
    <w:p w:rsidR="00C11F73" w:rsidRPr="00E63330" w:rsidRDefault="0096592E" w:rsidP="0028440C">
      <w:pPr>
        <w:numPr>
          <w:ilvl w:val="0"/>
          <w:numId w:val="52"/>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norme di principio ivi richiamate (artt. 3, 4, 5, comma 2, 7, 9, 15, comma 1) l’adeguamento deve avvenire immediatamente nei termini sopra indicati decorsi i quali “si applicano le disposizioni previste nel presente decreto fino all’emanazione della disciplina regionale e locale” (art. 18, comma 2, ultimo periodo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p>
    <w:p w:rsidR="00C11F73" w:rsidRPr="00E63330" w:rsidRDefault="0096592E" w:rsidP="0028440C">
      <w:pPr>
        <w:numPr>
          <w:ilvl w:val="0"/>
          <w:numId w:val="52"/>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restanti disposizioni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 solo a seguito dell’accordo sottoscritto in sede di Conferenza unificata</w:t>
      </w:r>
      <w:r>
        <w:rPr>
          <w:rFonts w:ascii="Times New Roman" w:hAnsi="Times New Roman"/>
          <w:sz w:val="24"/>
          <w:szCs w:val="24"/>
          <w:lang w:eastAsia="it-IT"/>
        </w:rPr>
        <w:t xml:space="preserve">. </w:t>
      </w:r>
    </w:p>
    <w:p w:rsidR="006E6FF9" w:rsidRPr="00E63330" w:rsidRDefault="0096592E" w:rsidP="00AE1C78">
      <w:pPr>
        <w:spacing w:after="0"/>
        <w:jc w:val="both"/>
        <w:rPr>
          <w:rFonts w:ascii="Times New Roman" w:hAnsi="Times New Roman"/>
          <w:sz w:val="24"/>
          <w:szCs w:val="24"/>
          <w:lang w:eastAsia="it-IT"/>
        </w:rPr>
      </w:pPr>
      <w:r>
        <w:rPr>
          <w:rFonts w:ascii="Times New Roman" w:hAnsi="Times New Roman"/>
          <w:sz w:val="24"/>
          <w:szCs w:val="24"/>
          <w:lang w:eastAsia="it-IT"/>
        </w:rPr>
        <w:t xml:space="preserve">In estrema sintesi, ai sensi dell’art. 4, comma 2, </w:t>
      </w:r>
      <w:proofErr w:type="spellStart"/>
      <w:r>
        <w:rPr>
          <w:rFonts w:ascii="Times New Roman" w:hAnsi="Times New Roman"/>
          <w:sz w:val="24"/>
          <w:szCs w:val="24"/>
          <w:lang w:eastAsia="it-IT"/>
        </w:rPr>
        <w:t>lett</w:t>
      </w:r>
      <w:proofErr w:type="spellEnd"/>
      <w:r>
        <w:rPr>
          <w:rFonts w:ascii="Times New Roman" w:hAnsi="Times New Roman"/>
          <w:sz w:val="24"/>
          <w:szCs w:val="24"/>
          <w:lang w:eastAsia="it-IT"/>
        </w:rPr>
        <w:t>. a 7 del citato decreto, nella predisposizione del Piano della performance e, quindi, nella definizione degli obiettivi strategici ed operativi di cui all’art. 10 e degli obiettivi individuali, e naturalmente dei loro indicatori,</w:t>
      </w:r>
      <w:r w:rsidR="00D12431">
        <w:rPr>
          <w:rFonts w:ascii="Times New Roman" w:hAnsi="Times New Roman"/>
          <w:sz w:val="24"/>
          <w:szCs w:val="24"/>
          <w:lang w:eastAsia="it-IT"/>
        </w:rPr>
        <w:t xml:space="preserve"> </w:t>
      </w:r>
      <w:r>
        <w:rPr>
          <w:rFonts w:ascii="Times New Roman" w:hAnsi="Times New Roman"/>
          <w:sz w:val="24"/>
          <w:szCs w:val="24"/>
          <w:lang w:eastAsia="it-IT"/>
        </w:rPr>
        <w:t xml:space="preserve">occorre tenere conto </w:t>
      </w:r>
      <w:r>
        <w:rPr>
          <w:rFonts w:ascii="Times New Roman" w:hAnsi="Times New Roman"/>
          <w:sz w:val="24"/>
          <w:szCs w:val="24"/>
          <w:lang w:eastAsia="it-IT"/>
        </w:rPr>
        <w:lastRenderedPageBreak/>
        <w:t>“anche dei risultati conseguiti nell’anno precedente, come documentati e validati nella relazione” sulla performance.</w:t>
      </w:r>
    </w:p>
    <w:p w:rsidR="00A364A2" w:rsidRPr="00E63330" w:rsidRDefault="0096592E" w:rsidP="0053404D">
      <w:pPr>
        <w:spacing w:after="0"/>
        <w:jc w:val="both"/>
        <w:rPr>
          <w:rFonts w:ascii="Times New Roman" w:hAnsi="Times New Roman"/>
          <w:sz w:val="24"/>
          <w:szCs w:val="24"/>
          <w:lang w:eastAsia="it-IT"/>
        </w:rPr>
      </w:pPr>
      <w:r>
        <w:rPr>
          <w:rFonts w:ascii="Times New Roman" w:hAnsi="Times New Roman"/>
          <w:sz w:val="24"/>
          <w:szCs w:val="24"/>
          <w:lang w:eastAsia="it-IT"/>
        </w:rPr>
        <w:t xml:space="preserve">Tale previsione, in assenza della Relazione sulla Performance al momento della redazione del presente Piano, è stata recepita dall’ARCEA nelle modalità descritte nella sezione dedicata alle tabelle di sintesi ad introduzione dei “Quadri sinottici riportanti la connessione del valore degli indicatori nel corrente anno con i risultati dell’anno precedente”. </w:t>
      </w:r>
    </w:p>
    <w:p w:rsidR="00A364A2"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Un’importante novità introdotta nel presente Piano è quella connessa alla rivisitazione dell’indicatore di impatto I.I.1.1</w:t>
      </w:r>
      <w:r w:rsidR="002F58B2">
        <w:rPr>
          <w:rFonts w:ascii="Times New Roman" w:hAnsi="Times New Roman"/>
          <w:sz w:val="24"/>
          <w:szCs w:val="24"/>
          <w:lang w:eastAsia="it-IT"/>
        </w:rPr>
        <w:t>,</w:t>
      </w:r>
      <w:r>
        <w:rPr>
          <w:rFonts w:ascii="Times New Roman" w:hAnsi="Times New Roman"/>
          <w:sz w:val="24"/>
          <w:szCs w:val="24"/>
          <w:lang w:eastAsia="it-IT"/>
        </w:rPr>
        <w:t xml:space="preserve"> che è stato ricondotto in maniera ancora più forte e diretta all’effettivo giudizio degli </w:t>
      </w:r>
      <w:proofErr w:type="spellStart"/>
      <w:r>
        <w:rPr>
          <w:rFonts w:ascii="Times New Roman" w:hAnsi="Times New Roman"/>
          <w:sz w:val="24"/>
          <w:szCs w:val="24"/>
          <w:lang w:eastAsia="it-IT"/>
        </w:rPr>
        <w:t>stakeholders</w:t>
      </w:r>
      <w:proofErr w:type="spellEnd"/>
      <w:r>
        <w:rPr>
          <w:rFonts w:ascii="Times New Roman" w:hAnsi="Times New Roman"/>
          <w:sz w:val="24"/>
          <w:szCs w:val="24"/>
          <w:lang w:eastAsia="it-IT"/>
        </w:rPr>
        <w:t xml:space="preserve"> esterni</w:t>
      </w:r>
      <w:r w:rsidR="0053404D">
        <w:rPr>
          <w:rFonts w:ascii="Times New Roman" w:hAnsi="Times New Roman"/>
          <w:sz w:val="24"/>
          <w:szCs w:val="24"/>
          <w:lang w:eastAsia="it-IT"/>
        </w:rPr>
        <w:t xml:space="preserve">, anche in ossequi a quanto previsto dall’articolo 8 del </w:t>
      </w:r>
      <w:r w:rsidR="0053404D" w:rsidRPr="0053404D">
        <w:rPr>
          <w:rFonts w:ascii="Times New Roman" w:hAnsi="Times New Roman"/>
          <w:sz w:val="24"/>
          <w:szCs w:val="24"/>
          <w:lang w:eastAsia="it-IT"/>
        </w:rPr>
        <w:t xml:space="preserve">Regolamento Per la Misurazione e la Valutazione </w:t>
      </w:r>
      <w:r w:rsidR="0053404D">
        <w:rPr>
          <w:rFonts w:ascii="Times New Roman" w:hAnsi="Times New Roman"/>
          <w:sz w:val="24"/>
          <w:szCs w:val="24"/>
          <w:lang w:eastAsia="it-IT"/>
        </w:rPr>
        <w:t>delle Performance</w:t>
      </w:r>
      <w:r>
        <w:rPr>
          <w:rFonts w:ascii="Times New Roman" w:hAnsi="Times New Roman"/>
          <w:sz w:val="24"/>
          <w:szCs w:val="24"/>
          <w:lang w:eastAsia="it-IT"/>
        </w:rPr>
        <w:t xml:space="preserve">. In </w:t>
      </w:r>
      <w:r w:rsidR="002F58B2">
        <w:rPr>
          <w:rFonts w:ascii="Times New Roman" w:hAnsi="Times New Roman"/>
          <w:sz w:val="24"/>
          <w:szCs w:val="24"/>
          <w:lang w:eastAsia="it-IT"/>
        </w:rPr>
        <w:t>un’</w:t>
      </w:r>
      <w:r>
        <w:rPr>
          <w:rFonts w:ascii="Times New Roman" w:hAnsi="Times New Roman"/>
          <w:sz w:val="24"/>
          <w:szCs w:val="24"/>
          <w:lang w:eastAsia="it-IT"/>
        </w:rPr>
        <w:t xml:space="preserve">ottica di progressiva ottimizzazione della gestione delle performance, infatti, è stato deciso di chiedere agli Operatori dei Centri di Assistenza Agricola una valutazione di gradimento in relazione agli </w:t>
      </w:r>
      <w:r w:rsidR="00E94527">
        <w:rPr>
          <w:rFonts w:ascii="Times New Roman" w:hAnsi="Times New Roman"/>
          <w:sz w:val="24"/>
          <w:szCs w:val="24"/>
          <w:lang w:eastAsia="it-IT"/>
        </w:rPr>
        <w:t xml:space="preserve">incontri tenuti presso l’Agenzia, </w:t>
      </w:r>
      <w:r>
        <w:rPr>
          <w:rFonts w:ascii="Times New Roman" w:hAnsi="Times New Roman"/>
          <w:sz w:val="24"/>
          <w:szCs w:val="24"/>
          <w:lang w:eastAsia="it-IT"/>
        </w:rPr>
        <w:t>prenotati attraverso il sistema informativo messo a disposizione dall’</w:t>
      </w:r>
      <w:r w:rsidR="004116B9">
        <w:rPr>
          <w:rFonts w:ascii="Times New Roman" w:hAnsi="Times New Roman"/>
          <w:sz w:val="24"/>
          <w:szCs w:val="24"/>
          <w:lang w:eastAsia="it-IT"/>
        </w:rPr>
        <w:t>ARCEA</w:t>
      </w:r>
      <w:r w:rsidR="00E94527">
        <w:rPr>
          <w:rFonts w:ascii="Times New Roman" w:hAnsi="Times New Roman"/>
          <w:sz w:val="24"/>
          <w:szCs w:val="24"/>
          <w:lang w:eastAsia="it-IT"/>
        </w:rPr>
        <w:t>, al fine di ottenere chiarimenti e risoluzione delle problematiche di natura tecnico-amministrativa relativ</w:t>
      </w:r>
      <w:r w:rsidR="00AE576E">
        <w:rPr>
          <w:rFonts w:ascii="Times New Roman" w:hAnsi="Times New Roman"/>
          <w:sz w:val="24"/>
          <w:szCs w:val="24"/>
          <w:lang w:eastAsia="it-IT"/>
        </w:rPr>
        <w:t>e</w:t>
      </w:r>
      <w:r w:rsidR="00E94527">
        <w:rPr>
          <w:rFonts w:ascii="Times New Roman" w:hAnsi="Times New Roman"/>
          <w:sz w:val="24"/>
          <w:szCs w:val="24"/>
          <w:lang w:eastAsia="it-IT"/>
        </w:rPr>
        <w:t xml:space="preserve"> alle domande di aiuto/pagamento</w:t>
      </w:r>
      <w:r>
        <w:rPr>
          <w:rFonts w:ascii="Times New Roman" w:hAnsi="Times New Roman"/>
          <w:sz w:val="24"/>
          <w:szCs w:val="24"/>
          <w:lang w:eastAsia="it-IT"/>
        </w:rPr>
        <w:t xml:space="preserve">. </w:t>
      </w:r>
    </w:p>
    <w:p w:rsidR="00243769"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Tale indicatore, come esplicitato in maniera più analitica nel</w:t>
      </w:r>
      <w:r w:rsidR="0053404D">
        <w:rPr>
          <w:rFonts w:ascii="Times New Roman" w:hAnsi="Times New Roman"/>
          <w:sz w:val="24"/>
          <w:szCs w:val="24"/>
          <w:lang w:eastAsia="it-IT"/>
        </w:rPr>
        <w:t xml:space="preserve"> paragrafo 4 “</w:t>
      </w:r>
      <w:r w:rsidR="0053404D" w:rsidRPr="0053404D">
        <w:rPr>
          <w:rFonts w:ascii="Times New Roman" w:hAnsi="Times New Roman"/>
          <w:sz w:val="24"/>
          <w:szCs w:val="24"/>
          <w:lang w:eastAsia="it-IT"/>
        </w:rPr>
        <w:t>La scelta degli indicatori</w:t>
      </w:r>
      <w:r w:rsidR="0053404D">
        <w:rPr>
          <w:rFonts w:ascii="Times New Roman" w:hAnsi="Times New Roman"/>
          <w:sz w:val="24"/>
          <w:szCs w:val="24"/>
          <w:lang w:eastAsia="it-IT"/>
        </w:rPr>
        <w:t>” ed in particolare nella setto-sezione “Indicatori di Impatto”</w:t>
      </w:r>
      <w:r w:rsidRPr="00086F33">
        <w:rPr>
          <w:rFonts w:ascii="Times New Roman" w:hAnsi="Times New Roman"/>
          <w:sz w:val="24"/>
          <w:szCs w:val="24"/>
          <w:lang w:eastAsia="it-IT"/>
        </w:rPr>
        <w:t>, ha</w:t>
      </w:r>
      <w:r>
        <w:rPr>
          <w:rFonts w:ascii="Times New Roman" w:hAnsi="Times New Roman"/>
          <w:sz w:val="24"/>
          <w:szCs w:val="24"/>
          <w:lang w:eastAsia="it-IT"/>
        </w:rPr>
        <w:t xml:space="preserve"> carattere sperimentale per l’anno in corso e sarà oggetto di un’attività di monitoraggio ancora più intensa e stringente</w:t>
      </w:r>
      <w:r w:rsidR="0053404D">
        <w:rPr>
          <w:rFonts w:ascii="Times New Roman" w:hAnsi="Times New Roman"/>
          <w:sz w:val="24"/>
          <w:szCs w:val="24"/>
          <w:lang w:eastAsia="it-IT"/>
        </w:rPr>
        <w:t>,</w:t>
      </w:r>
      <w:r>
        <w:rPr>
          <w:rFonts w:ascii="Times New Roman" w:hAnsi="Times New Roman"/>
          <w:sz w:val="24"/>
          <w:szCs w:val="24"/>
          <w:lang w:eastAsia="it-IT"/>
        </w:rPr>
        <w:t xml:space="preserve"> che potrebbe condurre</w:t>
      </w:r>
      <w:r w:rsidR="0053404D">
        <w:rPr>
          <w:rFonts w:ascii="Times New Roman" w:hAnsi="Times New Roman"/>
          <w:sz w:val="24"/>
          <w:szCs w:val="24"/>
          <w:lang w:eastAsia="it-IT"/>
        </w:rPr>
        <w:t>, in base alle attività di monitoraggio poste in essere dall’Agenzia,</w:t>
      </w:r>
      <w:r>
        <w:rPr>
          <w:rFonts w:ascii="Times New Roman" w:hAnsi="Times New Roman"/>
          <w:sz w:val="24"/>
          <w:szCs w:val="24"/>
          <w:lang w:eastAsia="it-IT"/>
        </w:rPr>
        <w:t xml:space="preserve"> entro la prima metà dell’anno ad una riformulazione del target e delle modalità di attuazione. </w:t>
      </w:r>
    </w:p>
    <w:p w:rsidR="00C11F73" w:rsidRPr="00E63330" w:rsidRDefault="00C11F73" w:rsidP="0064398B">
      <w:pPr>
        <w:autoSpaceDE w:val="0"/>
        <w:autoSpaceDN w:val="0"/>
        <w:adjustRightInd w:val="0"/>
        <w:spacing w:after="120"/>
        <w:jc w:val="both"/>
        <w:rPr>
          <w:rFonts w:ascii="Times New Roman" w:hAnsi="Times New Roman"/>
          <w:sz w:val="24"/>
          <w:szCs w:val="24"/>
          <w:highlight w:val="yellow"/>
          <w:lang w:eastAsia="it-IT"/>
        </w:rPr>
      </w:pPr>
    </w:p>
    <w:p w:rsidR="006E6FF9" w:rsidRPr="00E63330" w:rsidRDefault="0096592E" w:rsidP="0064398B">
      <w:pPr>
        <w:autoSpaceDE w:val="0"/>
        <w:autoSpaceDN w:val="0"/>
        <w:adjustRightInd w:val="0"/>
        <w:spacing w:after="120"/>
        <w:jc w:val="both"/>
        <w:rPr>
          <w:rFonts w:ascii="Times New Roman" w:hAnsi="Times New Roman"/>
          <w:b/>
          <w:sz w:val="24"/>
          <w:szCs w:val="24"/>
          <w:u w:val="single"/>
          <w:lang w:eastAsia="it-IT"/>
        </w:rPr>
      </w:pPr>
      <w:r>
        <w:rPr>
          <w:rFonts w:ascii="Times New Roman" w:hAnsi="Times New Roman"/>
          <w:b/>
          <w:sz w:val="24"/>
          <w:szCs w:val="24"/>
          <w:u w:val="single"/>
          <w:lang w:eastAsia="it-IT"/>
        </w:rPr>
        <w:t>Il decreto legislativo n. 150 del 2009</w:t>
      </w:r>
    </w:p>
    <w:p w:rsidR="00FB2C09"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9B7CE6">
        <w:rPr>
          <w:rFonts w:ascii="Times New Roman" w:hAnsi="Times New Roman"/>
          <w:sz w:val="24"/>
          <w:szCs w:val="24"/>
          <w:lang w:eastAsia="it-IT"/>
        </w:rPr>
        <w:t xml:space="preserve"> </w:t>
      </w:r>
      <w:r>
        <w:rPr>
          <w:rFonts w:ascii="Times New Roman" w:hAnsi="Times New Roman"/>
          <w:sz w:val="24"/>
          <w:szCs w:val="24"/>
          <w:lang w:eastAsia="it-IT"/>
        </w:rPr>
        <w:t>la pubblica amministrazione.</w:t>
      </w:r>
    </w:p>
    <w:p w:rsidR="000F5A0D" w:rsidRPr="00E63330" w:rsidRDefault="0096592E" w:rsidP="0064398B">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L’asse della riforma è la piena affermazione della cultura della valutazione, la cui carenza ha sino ad oggi</w:t>
      </w:r>
      <w:r w:rsidR="009B7CE6">
        <w:rPr>
          <w:rFonts w:ascii="Times New Roman" w:hAnsi="Times New Roman"/>
          <w:sz w:val="24"/>
          <w:szCs w:val="24"/>
          <w:lang w:eastAsia="it-IT"/>
        </w:rPr>
        <w:t xml:space="preserve"> </w:t>
      </w:r>
      <w:r>
        <w:rPr>
          <w:rFonts w:ascii="Times New Roman" w:hAnsi="Times New Roman"/>
          <w:sz w:val="24"/>
          <w:szCs w:val="24"/>
          <w:lang w:eastAsia="it-IT"/>
        </w:rPr>
        <w:t>frenato ogni possibilità di produrre un tangibile miglioramento dei risultati delle amministrazioni</w:t>
      </w:r>
      <w:r w:rsidR="009B7CE6">
        <w:rPr>
          <w:rFonts w:ascii="Times New Roman" w:hAnsi="Times New Roman"/>
          <w:sz w:val="24"/>
          <w:szCs w:val="24"/>
          <w:lang w:eastAsia="it-IT"/>
        </w:rPr>
        <w:t xml:space="preserve"> </w:t>
      </w:r>
      <w:r>
        <w:rPr>
          <w:rFonts w:ascii="Times New Roman" w:hAnsi="Times New Roman"/>
          <w:sz w:val="24"/>
          <w:szCs w:val="24"/>
          <w:lang w:eastAsia="it-IT"/>
        </w:rPr>
        <w:t>pubbliche. Infatti, in tutte le recenti riforme della pubblica amministrazione, la valutazione ha assunto un</w:t>
      </w:r>
      <w:r w:rsidR="009B7CE6">
        <w:rPr>
          <w:rFonts w:ascii="Times New Roman" w:hAnsi="Times New Roman"/>
          <w:sz w:val="24"/>
          <w:szCs w:val="24"/>
          <w:lang w:eastAsia="it-IT"/>
        </w:rPr>
        <w:t xml:space="preserve"> </w:t>
      </w:r>
      <w:r>
        <w:rPr>
          <w:rFonts w:ascii="Times New Roman" w:hAnsi="Times New Roman"/>
          <w:sz w:val="24"/>
          <w:szCs w:val="24"/>
          <w:lang w:eastAsia="it-IT"/>
        </w:rPr>
        <w:t xml:space="preserve">ruolo fondamentale sia dal punto di vista del personale che dal punto di vista delle organizzazioni. </w:t>
      </w:r>
    </w:p>
    <w:p w:rsidR="00050A78" w:rsidRPr="00E63330" w:rsidRDefault="0096592E" w:rsidP="00050A78">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In tale ottica, pertanto, il Piano della Performance, secondo quanto stabilito dall’articolo 10, comma 1, lettera a) dello stesso decreto 150/09, è un documento programmatico triennale, adottato</w:t>
      </w:r>
      <w:r w:rsidR="00E94527">
        <w:rPr>
          <w:rFonts w:ascii="Times New Roman" w:hAnsi="Times New Roman"/>
          <w:sz w:val="24"/>
          <w:szCs w:val="24"/>
          <w:lang w:eastAsia="it-IT"/>
        </w:rPr>
        <w:t xml:space="preserve"> </w:t>
      </w:r>
      <w:r>
        <w:rPr>
          <w:rFonts w:ascii="Times New Roman" w:hAnsi="Times New Roman"/>
          <w:sz w:val="24"/>
          <w:szCs w:val="24"/>
          <w:lang w:eastAsia="it-IT"/>
        </w:rPr>
        <w:t xml:space="preserve">in coerenza con i contenuti e il ciclo della programmazione finanziaria e di bilancio, che individua gli obiettivi strategici ed operativi, definendo, con riferimento agli obiettivi finali ed intermedi ed alle risorse, gli indicatori per la misurazione e la valutazione della performance dell’amministrazione, nonché gli obiettivi assegnati al personale dirigenziale ed i relativi indicatori. </w:t>
      </w:r>
    </w:p>
    <w:p w:rsidR="00050A78" w:rsidRPr="00E63330" w:rsidRDefault="0096592E" w:rsidP="00050A78">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Il Piano triennale </w:t>
      </w:r>
      <w:r w:rsidR="00E94527">
        <w:rPr>
          <w:rFonts w:ascii="Times New Roman" w:hAnsi="Times New Roman"/>
          <w:sz w:val="24"/>
          <w:szCs w:val="24"/>
          <w:lang w:eastAsia="it-IT"/>
        </w:rPr>
        <w:t xml:space="preserve">rappresenta lo strumento che dà avvio al ciclo di gestione della performance (articolo 4 del decreto), in esso, in coerenza con le risorse assegnate, sono esplicitati gli obiettivi, gli indicatori ed i target, costituenti gli elementi fondamentali su cui si baserà poi la misurazione, la valutazione e la rendicontazione della performance e </w:t>
      </w:r>
      <w:r>
        <w:rPr>
          <w:rFonts w:ascii="Times New Roman" w:hAnsi="Times New Roman"/>
          <w:sz w:val="24"/>
          <w:szCs w:val="24"/>
          <w:lang w:eastAsia="it-IT"/>
        </w:rPr>
        <w:t xml:space="preserve">deve contenere un cronoprogramma, </w:t>
      </w:r>
      <w:r>
        <w:rPr>
          <w:rFonts w:ascii="Times New Roman" w:hAnsi="Times New Roman"/>
          <w:sz w:val="24"/>
          <w:szCs w:val="24"/>
          <w:lang w:eastAsia="it-IT"/>
        </w:rPr>
        <w:lastRenderedPageBreak/>
        <w:t xml:space="preserve">vincolante almeno per il primo esercizio, in relazione al quale verrà poi redatta, entro il 30 giugno dell’anno successivo all’esercizio finanziario, la Relazione sulla performance. </w:t>
      </w:r>
    </w:p>
    <w:p w:rsidR="00050A78" w:rsidRPr="00E63330" w:rsidRDefault="0096592E" w:rsidP="000F2AA5">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Gli obiettivi esplicitati nel Piano devono essere: </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specifici e misurabili in termini concreti e chiari; </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tali da determinare un significativo miglioramento della qualità dei servizi erogati e degli interventi; </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riferibili ad un arco temporale determinato corrispondente ad un anno;</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confrontabili con le tendenze della produttività dell’amministrazione, con riferimento, ove possibile, almeno al triennio precedente;</w:t>
      </w:r>
    </w:p>
    <w:p w:rsidR="00050A78" w:rsidRPr="00E63330" w:rsidRDefault="0096592E" w:rsidP="00942E2C">
      <w:pPr>
        <w:numPr>
          <w:ilvl w:val="0"/>
          <w:numId w:val="15"/>
        </w:num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correlati alla quantità e alla qualità delle risorse disponibili. </w:t>
      </w:r>
    </w:p>
    <w:p w:rsidR="00050A78" w:rsidRPr="00E63330" w:rsidRDefault="00050A78" w:rsidP="00050A78">
      <w:pPr>
        <w:autoSpaceDE w:val="0"/>
        <w:autoSpaceDN w:val="0"/>
        <w:adjustRightInd w:val="0"/>
        <w:spacing w:after="0" w:line="240" w:lineRule="auto"/>
        <w:rPr>
          <w:rFonts w:ascii="Times New Roman" w:hAnsi="Times New Roman"/>
          <w:sz w:val="24"/>
          <w:szCs w:val="24"/>
          <w:lang w:eastAsia="it-IT"/>
        </w:rPr>
      </w:pPr>
    </w:p>
    <w:p w:rsidR="00C56C2B" w:rsidRPr="00E63330" w:rsidRDefault="00C56C2B" w:rsidP="00050A78">
      <w:pPr>
        <w:autoSpaceDE w:val="0"/>
        <w:autoSpaceDN w:val="0"/>
        <w:adjustRightInd w:val="0"/>
        <w:spacing w:after="0"/>
        <w:rPr>
          <w:rFonts w:ascii="Times New Roman" w:hAnsi="Times New Roman"/>
          <w:sz w:val="24"/>
          <w:szCs w:val="24"/>
          <w:lang w:eastAsia="it-IT"/>
        </w:rPr>
      </w:pPr>
    </w:p>
    <w:p w:rsidR="00C56C2B" w:rsidRPr="00E63330" w:rsidRDefault="0096592E" w:rsidP="008F03FD">
      <w:pPr>
        <w:pStyle w:val="Titolo2"/>
        <w:spacing w:after="120"/>
      </w:pPr>
      <w:bookmarkStart w:id="7" w:name="_Toc1046932"/>
      <w:r w:rsidRPr="003C3367">
        <w:t>Recepimento delle osservazioni dell’Organismo Indipendente di Valutazione e adeguamento alle nuove disposizioni normative:</w:t>
      </w:r>
      <w:bookmarkEnd w:id="7"/>
    </w:p>
    <w:p w:rsidR="00F67F4D" w:rsidRPr="00E63330" w:rsidRDefault="0096592E" w:rsidP="0028440C">
      <w:pPr>
        <w:pStyle w:val="Nessunaspaziatura"/>
        <w:spacing w:line="276" w:lineRule="auto"/>
        <w:jc w:val="both"/>
        <w:rPr>
          <w:rFonts w:ascii="Times New Roman" w:hAnsi="Times New Roman"/>
          <w:sz w:val="24"/>
          <w:szCs w:val="24"/>
        </w:rPr>
      </w:pPr>
      <w:r>
        <w:rPr>
          <w:rFonts w:ascii="Times New Roman" w:hAnsi="Times New Roman"/>
          <w:sz w:val="24"/>
          <w:szCs w:val="24"/>
        </w:rPr>
        <w:t xml:space="preserve">È necessario preliminarmente sottolineare come la presente strutturazione del Piano delle Performance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rsidR="00F67F4D" w:rsidRPr="00E63330" w:rsidRDefault="0096592E" w:rsidP="0028440C">
      <w:pPr>
        <w:pStyle w:val="Nessunaspaziatura"/>
        <w:spacing w:line="276" w:lineRule="auto"/>
        <w:jc w:val="both"/>
        <w:rPr>
          <w:rFonts w:ascii="Times New Roman" w:hAnsi="Times New Roman"/>
          <w:sz w:val="24"/>
          <w:szCs w:val="24"/>
        </w:rPr>
      </w:pPr>
      <w:r>
        <w:rPr>
          <w:rFonts w:ascii="Times New Roman" w:hAnsi="Times New Roman"/>
          <w:sz w:val="24"/>
          <w:szCs w:val="24"/>
        </w:rPr>
        <w:t xml:space="preserve">Come è ormai consolidata prassi, anche al fine di evidenziare le principali azioni poste in essere a fronte delle interlocuzioni con l’OIV, anche nel presente documento è stata prevista una sezione che illustra i principali fattori di correzione apportati dall’Agenzia nel corso dell’ultimo anno. </w:t>
      </w:r>
    </w:p>
    <w:p w:rsidR="006B01E2" w:rsidRPr="00E63330" w:rsidRDefault="0096592E" w:rsidP="0028440C">
      <w:pPr>
        <w:pStyle w:val="Nessunaspaziatura"/>
        <w:spacing w:line="276" w:lineRule="auto"/>
        <w:jc w:val="both"/>
        <w:rPr>
          <w:rFonts w:ascii="Times New Roman" w:hAnsi="Times New Roman"/>
          <w:sz w:val="24"/>
          <w:szCs w:val="24"/>
        </w:rPr>
      </w:pPr>
      <w:r>
        <w:rPr>
          <w:rFonts w:ascii="Times New Roman" w:hAnsi="Times New Roman"/>
          <w:sz w:val="24"/>
          <w:szCs w:val="24"/>
        </w:rPr>
        <w:t>Per ottenere una visione olistica del processo di maturazione della gestione delle Performance, pertanto, si rimanda ai precedenti Piani, tutti pubblicati nel Portale della Trasparenza ARCEA, ed alle sezioni omologhe alla presente, in cui sono illustrati i pareri dell’OIV e le conseguenti contromisure adottate dall’Agenzia.</w:t>
      </w:r>
    </w:p>
    <w:p w:rsidR="001378E6" w:rsidRPr="003C3367" w:rsidRDefault="0096592E" w:rsidP="003C3367">
      <w:pPr>
        <w:pStyle w:val="Nessunaspaziatura"/>
        <w:spacing w:line="276" w:lineRule="auto"/>
        <w:jc w:val="both"/>
        <w:rPr>
          <w:rFonts w:ascii="Times New Roman" w:hAnsi="Times New Roman"/>
          <w:sz w:val="24"/>
          <w:szCs w:val="24"/>
          <w:lang w:eastAsia="it-IT"/>
        </w:rPr>
      </w:pPr>
      <w:r>
        <w:rPr>
          <w:rFonts w:ascii="Times New Roman" w:hAnsi="Times New Roman"/>
          <w:sz w:val="24"/>
          <w:szCs w:val="24"/>
          <w:lang w:eastAsia="it-IT"/>
        </w:rPr>
        <w:t>Di seguito</w:t>
      </w:r>
      <w:r w:rsidR="00E62146">
        <w:rPr>
          <w:rFonts w:ascii="Times New Roman" w:hAnsi="Times New Roman"/>
          <w:sz w:val="24"/>
          <w:szCs w:val="24"/>
          <w:lang w:eastAsia="it-IT"/>
        </w:rPr>
        <w:t>,</w:t>
      </w:r>
      <w:r>
        <w:rPr>
          <w:rFonts w:ascii="Times New Roman" w:hAnsi="Times New Roman"/>
          <w:sz w:val="24"/>
          <w:szCs w:val="24"/>
          <w:lang w:eastAsia="it-IT"/>
        </w:rPr>
        <w:t xml:space="preserve"> sono</w:t>
      </w:r>
      <w:r w:rsidR="004116B9">
        <w:rPr>
          <w:rFonts w:ascii="Times New Roman" w:hAnsi="Times New Roman"/>
          <w:sz w:val="24"/>
          <w:szCs w:val="24"/>
          <w:lang w:eastAsia="it-IT"/>
        </w:rPr>
        <w:t>,</w:t>
      </w:r>
      <w:r>
        <w:rPr>
          <w:rFonts w:ascii="Times New Roman" w:hAnsi="Times New Roman"/>
          <w:sz w:val="24"/>
          <w:szCs w:val="24"/>
          <w:lang w:eastAsia="it-IT"/>
        </w:rPr>
        <w:t xml:space="preserve"> pertanto</w:t>
      </w:r>
      <w:r w:rsidR="004116B9">
        <w:rPr>
          <w:rFonts w:ascii="Times New Roman" w:hAnsi="Times New Roman"/>
          <w:sz w:val="24"/>
          <w:szCs w:val="24"/>
          <w:lang w:eastAsia="it-IT"/>
        </w:rPr>
        <w:t>,</w:t>
      </w:r>
      <w:r>
        <w:rPr>
          <w:rFonts w:ascii="Times New Roman" w:hAnsi="Times New Roman"/>
          <w:sz w:val="24"/>
          <w:szCs w:val="24"/>
          <w:lang w:eastAsia="it-IT"/>
        </w:rPr>
        <w:t xml:space="preserve"> riportate le evoluzioni scaturite da quanto osservato dall’OIV in sede di approvazione del Piano della Performance 2018/2020, avvenuta con verbale del giorno approvata in data 20 marzo 2018</w:t>
      </w:r>
      <w:r w:rsidR="004116B9">
        <w:rPr>
          <w:rFonts w:ascii="Times New Roman" w:hAnsi="Times New Roman"/>
          <w:sz w:val="24"/>
          <w:szCs w:val="24"/>
          <w:lang w:eastAsia="it-IT"/>
        </w:rPr>
        <w:t>,</w:t>
      </w:r>
      <w:r w:rsidR="00E62146">
        <w:rPr>
          <w:rFonts w:ascii="Times New Roman" w:hAnsi="Times New Roman"/>
          <w:sz w:val="24"/>
          <w:szCs w:val="24"/>
          <w:lang w:eastAsia="it-IT"/>
        </w:rPr>
        <w:t xml:space="preserve"> </w:t>
      </w:r>
      <w:r>
        <w:rPr>
          <w:rFonts w:ascii="Times New Roman" w:hAnsi="Times New Roman"/>
          <w:sz w:val="24"/>
          <w:szCs w:val="24"/>
          <w:lang w:eastAsia="it-IT"/>
        </w:rPr>
        <w:t>ed all’interno d</w:t>
      </w:r>
      <w:r w:rsidRPr="003C3367">
        <w:rPr>
          <w:rFonts w:ascii="Times New Roman" w:hAnsi="Times New Roman"/>
          <w:sz w:val="24"/>
          <w:szCs w:val="24"/>
          <w:lang w:eastAsia="it-IT"/>
        </w:rPr>
        <w:t xml:space="preserve">ella Relazione </w:t>
      </w:r>
      <w:r w:rsidR="007D596D" w:rsidRPr="00736F6E">
        <w:rPr>
          <w:rFonts w:ascii="Times New Roman" w:hAnsi="Times New Roman"/>
          <w:sz w:val="24"/>
          <w:szCs w:val="24"/>
          <w:lang w:eastAsia="it-IT"/>
        </w:rPr>
        <w:t xml:space="preserve">sul </w:t>
      </w:r>
      <w:r w:rsidRPr="003C3367">
        <w:rPr>
          <w:rFonts w:ascii="Times New Roman" w:hAnsi="Times New Roman"/>
          <w:sz w:val="24"/>
          <w:szCs w:val="24"/>
          <w:lang w:eastAsia="it-IT"/>
        </w:rPr>
        <w:t xml:space="preserve">funzionamento complessivo del Sistema di valutazione, trasparenza e integrità dei controlli interni, approvata nella seduta del </w:t>
      </w:r>
      <w:r>
        <w:rPr>
          <w:rFonts w:ascii="Times New Roman" w:hAnsi="Times New Roman"/>
          <w:sz w:val="24"/>
          <w:szCs w:val="24"/>
          <w:lang w:eastAsia="it-IT"/>
        </w:rPr>
        <w:t xml:space="preserve">18 maggio </w:t>
      </w:r>
      <w:r w:rsidRPr="003C3367">
        <w:rPr>
          <w:rFonts w:ascii="Times New Roman" w:hAnsi="Times New Roman"/>
          <w:sz w:val="24"/>
          <w:szCs w:val="24"/>
          <w:lang w:eastAsia="it-IT"/>
        </w:rPr>
        <w:t xml:space="preserve">2018, per i quali l’Agenzia ha inteso intraprendere le azioni contenute nella tabella di seguito riportata: </w:t>
      </w:r>
    </w:p>
    <w:p w:rsidR="00F03E0F" w:rsidRPr="00E63330" w:rsidRDefault="00F03E0F" w:rsidP="00F03E0F">
      <w:pPr>
        <w:autoSpaceDE w:val="0"/>
        <w:autoSpaceDN w:val="0"/>
        <w:adjustRightInd w:val="0"/>
        <w:spacing w:after="0"/>
        <w:jc w:val="both"/>
        <w:rPr>
          <w:rFonts w:ascii="Times New Roman" w:hAnsi="Times New Roman"/>
          <w:sz w:val="24"/>
          <w:szCs w:val="24"/>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818"/>
      </w:tblGrid>
      <w:tr w:rsidR="00304F79" w:rsidRPr="00E63330" w:rsidTr="007971CF">
        <w:tc>
          <w:tcPr>
            <w:tcW w:w="4818" w:type="dxa"/>
            <w:shd w:val="clear" w:color="auto" w:fill="auto"/>
          </w:tcPr>
          <w:p w:rsidR="00304F79" w:rsidRPr="00E63330" w:rsidRDefault="0096592E" w:rsidP="00304F79">
            <w:pPr>
              <w:autoSpaceDE w:val="0"/>
              <w:autoSpaceDN w:val="0"/>
              <w:adjustRightInd w:val="0"/>
              <w:spacing w:after="0"/>
              <w:jc w:val="center"/>
              <w:rPr>
                <w:rFonts w:ascii="Times New Roman" w:hAnsi="Times New Roman"/>
                <w:b/>
                <w:sz w:val="24"/>
                <w:szCs w:val="24"/>
                <w:lang w:eastAsia="it-IT"/>
              </w:rPr>
            </w:pPr>
            <w:r>
              <w:rPr>
                <w:rFonts w:ascii="Times New Roman" w:hAnsi="Times New Roman"/>
                <w:b/>
                <w:sz w:val="24"/>
                <w:szCs w:val="24"/>
                <w:lang w:eastAsia="it-IT"/>
              </w:rPr>
              <w:t>SUGGERIMENTO OIV</w:t>
            </w:r>
          </w:p>
        </w:tc>
        <w:tc>
          <w:tcPr>
            <w:tcW w:w="4818" w:type="dxa"/>
            <w:shd w:val="clear" w:color="auto" w:fill="auto"/>
          </w:tcPr>
          <w:p w:rsidR="00304F79" w:rsidRPr="00E63330" w:rsidRDefault="0096592E" w:rsidP="00304F79">
            <w:pPr>
              <w:autoSpaceDE w:val="0"/>
              <w:autoSpaceDN w:val="0"/>
              <w:adjustRightInd w:val="0"/>
              <w:spacing w:after="0"/>
              <w:jc w:val="center"/>
              <w:rPr>
                <w:rFonts w:ascii="Times New Roman" w:hAnsi="Times New Roman"/>
                <w:b/>
                <w:sz w:val="24"/>
                <w:szCs w:val="24"/>
                <w:lang w:eastAsia="it-IT"/>
              </w:rPr>
            </w:pPr>
            <w:r>
              <w:rPr>
                <w:rFonts w:ascii="Times New Roman" w:hAnsi="Times New Roman"/>
                <w:b/>
                <w:sz w:val="24"/>
                <w:szCs w:val="24"/>
                <w:lang w:eastAsia="it-IT"/>
              </w:rPr>
              <w:t>RECEPIMENTO ARCEA</w:t>
            </w:r>
          </w:p>
        </w:tc>
      </w:tr>
      <w:tr w:rsidR="00164067" w:rsidRPr="00E63330" w:rsidTr="007971CF">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È necessario l’utilizzo di sistemi a supporto della misurazione delle performance con l’effettivo utilizzo di indicatori misurati attraverso i sistemi di contabilità economica e analitico-economica;</w:t>
            </w:r>
          </w:p>
        </w:tc>
        <w:tc>
          <w:tcPr>
            <w:tcW w:w="4818" w:type="dxa"/>
            <w:shd w:val="clear" w:color="auto" w:fill="auto"/>
          </w:tcPr>
          <w:p w:rsidR="004F142D" w:rsidRPr="00E63330" w:rsidRDefault="0096592E" w:rsidP="004F142D">
            <w:pPr>
              <w:autoSpaceDE w:val="0"/>
              <w:autoSpaceDN w:val="0"/>
              <w:adjustRightInd w:val="0"/>
              <w:spacing w:after="0"/>
              <w:jc w:val="both"/>
              <w:rPr>
                <w:rFonts w:ascii="Times New Roman" w:hAnsi="Times New Roman"/>
                <w:sz w:val="24"/>
                <w:szCs w:val="24"/>
                <w:lang w:eastAsia="it-IT"/>
              </w:rPr>
            </w:pPr>
            <w:bookmarkStart w:id="8" w:name="OLE_LINK229"/>
            <w:bookmarkStart w:id="9" w:name="OLE_LINK230"/>
            <w:r>
              <w:rPr>
                <w:rFonts w:ascii="Times New Roman" w:hAnsi="Times New Roman"/>
                <w:sz w:val="24"/>
                <w:szCs w:val="24"/>
                <w:lang w:eastAsia="it-IT"/>
              </w:rPr>
              <w:t xml:space="preserve">Recependo le indicazioni fornite dall’OIV, l’ARCEA ha adottato, già negli anni scorsi, un sistema di contabilità finanziaria a cui è stato affiancato, anche, un sistema di contabilità economico-patrimoniale, in modo da garantire la rilevazione unitaria dei fatti gestionali, sia sotto il profilo finanziario che sotto il profilo </w:t>
            </w:r>
            <w:r>
              <w:rPr>
                <w:rFonts w:ascii="Times New Roman" w:hAnsi="Times New Roman"/>
                <w:sz w:val="24"/>
                <w:szCs w:val="24"/>
                <w:lang w:eastAsia="it-IT"/>
              </w:rPr>
              <w:lastRenderedPageBreak/>
              <w:t>economico patrimoniale.</w:t>
            </w:r>
          </w:p>
          <w:p w:rsidR="00E1436A" w:rsidRPr="003C3367" w:rsidRDefault="0096592E" w:rsidP="00E1436A">
            <w:pPr>
              <w:autoSpaceDE w:val="0"/>
              <w:autoSpaceDN w:val="0"/>
              <w:adjustRightInd w:val="0"/>
              <w:jc w:val="both"/>
              <w:rPr>
                <w:rFonts w:ascii="Times New Roman" w:hAnsi="Times New Roman"/>
                <w:sz w:val="24"/>
                <w:szCs w:val="24"/>
              </w:rPr>
            </w:pPr>
            <w:r w:rsidRPr="003C3367">
              <w:rPr>
                <w:rFonts w:ascii="Times New Roman" w:hAnsi="Times New Roman"/>
                <w:sz w:val="24"/>
                <w:szCs w:val="24"/>
              </w:rPr>
              <w:t>Come già anticipato in preceden</w:t>
            </w:r>
            <w:r w:rsidR="004116B9">
              <w:rPr>
                <w:rFonts w:ascii="Times New Roman" w:hAnsi="Times New Roman"/>
                <w:sz w:val="24"/>
                <w:szCs w:val="24"/>
              </w:rPr>
              <w:t>ti occasioni</w:t>
            </w:r>
            <w:r w:rsidRPr="003C3367">
              <w:rPr>
                <w:rFonts w:ascii="Times New Roman" w:hAnsi="Times New Roman"/>
                <w:sz w:val="24"/>
                <w:szCs w:val="24"/>
              </w:rPr>
              <w:t xml:space="preserve">, inoltre, l’ARCEA è obbligata, ai sensi della normativa regionale di settore, ad utilizzare il software di gestione contabile fornito dalla Regione Calabria. Nel corso del 2018 sono state avviate interlocuzioni </w:t>
            </w:r>
            <w:r w:rsidR="004116B9">
              <w:rPr>
                <w:rFonts w:ascii="Times New Roman" w:hAnsi="Times New Roman"/>
                <w:sz w:val="24"/>
                <w:szCs w:val="24"/>
              </w:rPr>
              <w:t xml:space="preserve">con i competenti Dipartimento della Regione Calabria </w:t>
            </w:r>
            <w:r w:rsidRPr="003C3367">
              <w:rPr>
                <w:rFonts w:ascii="Times New Roman" w:hAnsi="Times New Roman"/>
                <w:sz w:val="24"/>
                <w:szCs w:val="24"/>
              </w:rPr>
              <w:t xml:space="preserve">finalizzate all’attivazione di strumenti in grado di rispondere in maniera adeguata al suggerimento formulato dall’OIV. </w:t>
            </w:r>
          </w:p>
          <w:p w:rsidR="00E1436A" w:rsidRPr="003C3367" w:rsidRDefault="0096592E" w:rsidP="00E1436A">
            <w:pPr>
              <w:jc w:val="both"/>
              <w:rPr>
                <w:rFonts w:ascii="Times New Roman" w:hAnsi="Times New Roman"/>
                <w:sz w:val="24"/>
                <w:szCs w:val="24"/>
              </w:rPr>
            </w:pPr>
            <w:r w:rsidRPr="003C3367">
              <w:rPr>
                <w:rFonts w:ascii="Times New Roman" w:hAnsi="Times New Roman"/>
                <w:sz w:val="24"/>
                <w:szCs w:val="24"/>
              </w:rPr>
              <w:t xml:space="preserve">Poiché il percorso di attivazione si è rivelato più lungo e laborioso del previsto, l’ARCEA ha deciso di integrare, </w:t>
            </w:r>
            <w:r w:rsidR="00A52606">
              <w:rPr>
                <w:rFonts w:ascii="Times New Roman" w:hAnsi="Times New Roman"/>
                <w:sz w:val="24"/>
                <w:szCs w:val="24"/>
              </w:rPr>
              <w:t xml:space="preserve">a </w:t>
            </w:r>
            <w:r w:rsidRPr="003C3367">
              <w:rPr>
                <w:rFonts w:ascii="Times New Roman" w:hAnsi="Times New Roman"/>
                <w:sz w:val="24"/>
                <w:szCs w:val="24"/>
              </w:rPr>
              <w:t xml:space="preserve">partire dalla Relazione </w:t>
            </w:r>
            <w:r w:rsidR="00210CA9">
              <w:rPr>
                <w:rFonts w:ascii="Times New Roman" w:hAnsi="Times New Roman"/>
                <w:sz w:val="24"/>
                <w:szCs w:val="24"/>
              </w:rPr>
              <w:t>2017</w:t>
            </w:r>
            <w:r w:rsidRPr="003C3367">
              <w:rPr>
                <w:rFonts w:ascii="Times New Roman" w:hAnsi="Times New Roman"/>
                <w:sz w:val="24"/>
                <w:szCs w:val="24"/>
              </w:rPr>
              <w:t xml:space="preserve">, nei documenti relativi alle Performance (Piani e Relazioni), in via sperimentale, alcuni principi ed indicatori di contabilità analitica, che saranno progressivamente integrati, anche in recepimento di suggerimenti provenienti dall’OIV, con l’intento di verificare l’efficienza delle proprie articolazioni dirigenziali. </w:t>
            </w:r>
          </w:p>
          <w:bookmarkEnd w:id="8"/>
          <w:bookmarkEnd w:id="9"/>
          <w:p w:rsidR="004F142D" w:rsidRPr="00E63330" w:rsidRDefault="00210CA9" w:rsidP="00931055">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Per fornire maggiore visibilità a tale sezione, i contenuti sono stati riportati, sotto forma di slide, nell’allegato </w:t>
            </w:r>
            <w:proofErr w:type="spellStart"/>
            <w:r>
              <w:rPr>
                <w:rFonts w:ascii="Times New Roman" w:hAnsi="Times New Roman"/>
                <w:sz w:val="24"/>
                <w:szCs w:val="24"/>
                <w:lang w:eastAsia="it-IT"/>
              </w:rPr>
              <w:t>num</w:t>
            </w:r>
            <w:proofErr w:type="spellEnd"/>
            <w:r>
              <w:rPr>
                <w:rFonts w:ascii="Times New Roman" w:hAnsi="Times New Roman"/>
                <w:sz w:val="24"/>
                <w:szCs w:val="24"/>
                <w:lang w:eastAsia="it-IT"/>
              </w:rPr>
              <w:t>. 2 del presente Piano.</w:t>
            </w:r>
          </w:p>
        </w:tc>
      </w:tr>
      <w:tr w:rsidR="00164067" w:rsidRPr="00E63330" w:rsidTr="007971CF">
        <w:tc>
          <w:tcPr>
            <w:tcW w:w="4818" w:type="dxa"/>
            <w:shd w:val="clear" w:color="auto" w:fill="auto"/>
          </w:tcPr>
          <w:p w:rsidR="001378E6" w:rsidRPr="003C3367" w:rsidRDefault="0096592E" w:rsidP="003C3367">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lastRenderedPageBreak/>
              <w:t xml:space="preserve">E’ necessario portare a regime l’utilizzo di applicativi informatici dedicati al ciclo di gestione della performance, attualmente in fase di interventi evolutivi conseguenti all’esito del test effettuato nel corso del 2017; </w:t>
            </w:r>
          </w:p>
          <w:p w:rsidR="00164067" w:rsidRPr="00E63330" w:rsidRDefault="00164067" w:rsidP="007971CF">
            <w:pPr>
              <w:autoSpaceDE w:val="0"/>
              <w:autoSpaceDN w:val="0"/>
              <w:adjustRightInd w:val="0"/>
              <w:spacing w:after="0"/>
              <w:jc w:val="both"/>
              <w:rPr>
                <w:rFonts w:ascii="Times New Roman" w:hAnsi="Times New Roman"/>
                <w:sz w:val="24"/>
                <w:szCs w:val="24"/>
                <w:lang w:eastAsia="it-IT"/>
              </w:rPr>
            </w:pPr>
          </w:p>
        </w:tc>
        <w:tc>
          <w:tcPr>
            <w:tcW w:w="4818" w:type="dxa"/>
            <w:shd w:val="clear" w:color="auto" w:fill="auto"/>
          </w:tcPr>
          <w:p w:rsidR="00164067" w:rsidRPr="00E63330" w:rsidRDefault="0096592E" w:rsidP="00CB25F0">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Il Sistema Informativo Per-Arcea è stato utilizzato nel corso del 2018 ed ha fornito risultati soddisfacenti, supportando tutte le fasi del ciclo delle Performance. Essendo uno strumento sviluppato internamente all’Agenzia, sarà, comunque, oggetto di manutenzione evolutiva continua al fine di adattarlo </w:t>
            </w:r>
            <w:r w:rsidR="004116B9">
              <w:rPr>
                <w:rFonts w:ascii="Times New Roman" w:hAnsi="Times New Roman"/>
                <w:sz w:val="24"/>
                <w:szCs w:val="24"/>
                <w:lang w:eastAsia="it-IT"/>
              </w:rPr>
              <w:t xml:space="preserve">sempre </w:t>
            </w:r>
            <w:r>
              <w:rPr>
                <w:rFonts w:ascii="Times New Roman" w:hAnsi="Times New Roman"/>
                <w:sz w:val="24"/>
                <w:szCs w:val="24"/>
                <w:lang w:eastAsia="it-IT"/>
              </w:rPr>
              <w:t xml:space="preserve">alle concrete necessità dell’ARCEA. </w:t>
            </w:r>
          </w:p>
        </w:tc>
      </w:tr>
      <w:tr w:rsidR="00164067" w:rsidRPr="00E63330" w:rsidTr="007971CF">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color w:val="000000"/>
                <w:sz w:val="24"/>
                <w:szCs w:val="24"/>
                <w:lang w:eastAsia="it-IT"/>
              </w:rPr>
              <w:t>Sarebbe opportuno porre un’attenzione al confronto temporale dell’evoluzione degli indicatori dello stato di salute finanziaria dell’Ente con riferimento alle seguenti dimensioni: equilibrio economico-finanziario, entrate, rapporto spese/costi, patrimonio, indebitamento;</w:t>
            </w:r>
          </w:p>
        </w:tc>
        <w:tc>
          <w:tcPr>
            <w:tcW w:w="4818" w:type="dxa"/>
            <w:shd w:val="clear" w:color="auto" w:fill="auto"/>
          </w:tcPr>
          <w:p w:rsidR="00F03E0F" w:rsidRPr="00E63330" w:rsidRDefault="0096592E" w:rsidP="0028440C">
            <w:pPr>
              <w:jc w:val="both"/>
              <w:rPr>
                <w:rFonts w:ascii="Times New Roman" w:hAnsi="Times New Roman"/>
                <w:sz w:val="24"/>
                <w:szCs w:val="24"/>
                <w:lang w:eastAsia="it-IT"/>
              </w:rPr>
            </w:pPr>
            <w:bookmarkStart w:id="10" w:name="OLE_LINK288"/>
            <w:bookmarkStart w:id="11" w:name="OLE_LINK289"/>
            <w:r>
              <w:rPr>
                <w:rFonts w:ascii="Times New Roman" w:hAnsi="Times New Roman"/>
                <w:sz w:val="24"/>
                <w:szCs w:val="24"/>
                <w:lang w:eastAsia="it-IT"/>
              </w:rPr>
              <w:t>A partire dal Piano 2018/2020,</w:t>
            </w:r>
            <w:r w:rsidR="0053404D">
              <w:rPr>
                <w:rFonts w:ascii="Times New Roman" w:hAnsi="Times New Roman"/>
                <w:sz w:val="24"/>
                <w:szCs w:val="24"/>
                <w:lang w:eastAsia="it-IT"/>
              </w:rPr>
              <w:t xml:space="preserve"> </w:t>
            </w:r>
            <w:r>
              <w:rPr>
                <w:rFonts w:ascii="Times New Roman" w:hAnsi="Times New Roman"/>
                <w:sz w:val="24"/>
                <w:szCs w:val="24"/>
                <w:lang w:eastAsia="it-IT"/>
              </w:rPr>
              <w:t xml:space="preserve">l’Agenzia ha inteso avviare e concretizzare un percorso di integrazione tra Piano degli indicatori e dei risultati attesi di bilancio, di cui al </w:t>
            </w:r>
            <w:proofErr w:type="spellStart"/>
            <w:r>
              <w:rPr>
                <w:rFonts w:ascii="Times New Roman" w:hAnsi="Times New Roman"/>
                <w:sz w:val="24"/>
                <w:szCs w:val="24"/>
                <w:lang w:eastAsia="it-IT"/>
              </w:rPr>
              <w:t>D.Lgs.</w:t>
            </w:r>
            <w:proofErr w:type="spellEnd"/>
            <w:r>
              <w:rPr>
                <w:rFonts w:ascii="Times New Roman" w:hAnsi="Times New Roman"/>
                <w:sz w:val="24"/>
                <w:szCs w:val="24"/>
                <w:lang w:eastAsia="it-IT"/>
              </w:rPr>
              <w:t xml:space="preserve"> 118/2011, i cui prospetti sono pubblicati nella sezione Amministrazione trasparente</w:t>
            </w:r>
            <w:r w:rsidR="00AE576E">
              <w:rPr>
                <w:rFonts w:ascii="Times New Roman" w:hAnsi="Times New Roman"/>
                <w:sz w:val="24"/>
                <w:szCs w:val="24"/>
                <w:lang w:eastAsia="it-IT"/>
              </w:rPr>
              <w:t>,</w:t>
            </w:r>
            <w:r>
              <w:rPr>
                <w:rFonts w:ascii="Times New Roman" w:hAnsi="Times New Roman"/>
                <w:sz w:val="24"/>
                <w:szCs w:val="24"/>
                <w:lang w:eastAsia="it-IT"/>
              </w:rPr>
              <w:t xml:space="preserve"> così come richiesto dalla normativa</w:t>
            </w:r>
            <w:r w:rsidR="00AE576E">
              <w:rPr>
                <w:rFonts w:ascii="Times New Roman" w:hAnsi="Times New Roman"/>
                <w:sz w:val="24"/>
                <w:szCs w:val="24"/>
                <w:lang w:eastAsia="it-IT"/>
              </w:rPr>
              <w:t>,</w:t>
            </w:r>
            <w:r>
              <w:rPr>
                <w:rFonts w:ascii="Times New Roman" w:hAnsi="Times New Roman"/>
                <w:sz w:val="24"/>
                <w:szCs w:val="24"/>
                <w:lang w:eastAsia="it-IT"/>
              </w:rPr>
              <w:t xml:space="preserve"> ed il Piano delle Performance, con il fine di rendere più evidente e concreta l’attenzione verso tale fondamentale aspetto, orientandola verso specifiche dimensioni (equilibrio economico-finanziario, entrate, rapporto spese/costi, </w:t>
            </w:r>
            <w:r>
              <w:rPr>
                <w:rFonts w:ascii="Times New Roman" w:hAnsi="Times New Roman"/>
                <w:sz w:val="24"/>
                <w:szCs w:val="24"/>
                <w:lang w:eastAsia="it-IT"/>
              </w:rPr>
              <w:lastRenderedPageBreak/>
              <w:t>patrimonio, indebitamento).</w:t>
            </w:r>
          </w:p>
          <w:p w:rsidR="00F03E0F" w:rsidRPr="00E63330" w:rsidRDefault="0096592E" w:rsidP="0028440C">
            <w:pPr>
              <w:jc w:val="both"/>
              <w:rPr>
                <w:rFonts w:ascii="Times New Roman" w:hAnsi="Times New Roman"/>
                <w:sz w:val="24"/>
                <w:szCs w:val="24"/>
                <w:lang w:eastAsia="it-IT"/>
              </w:rPr>
            </w:pPr>
            <w:r>
              <w:rPr>
                <w:rFonts w:ascii="Times New Roman" w:hAnsi="Times New Roman"/>
                <w:sz w:val="24"/>
                <w:szCs w:val="24"/>
                <w:lang w:eastAsia="it-IT"/>
              </w:rPr>
              <w:t xml:space="preserve">Tale decisione, che ha condotto ai primi risultati concreti già </w:t>
            </w:r>
            <w:r w:rsidR="00AE576E">
              <w:rPr>
                <w:rFonts w:ascii="Times New Roman" w:hAnsi="Times New Roman"/>
                <w:sz w:val="24"/>
                <w:szCs w:val="24"/>
                <w:lang w:eastAsia="it-IT"/>
              </w:rPr>
              <w:t>dal</w:t>
            </w:r>
            <w:r>
              <w:rPr>
                <w:rFonts w:ascii="Times New Roman" w:hAnsi="Times New Roman"/>
                <w:sz w:val="24"/>
                <w:szCs w:val="24"/>
                <w:lang w:eastAsia="it-IT"/>
              </w:rPr>
              <w:t xml:space="preserve"> Piano</w:t>
            </w:r>
            <w:r w:rsidR="00AE576E">
              <w:rPr>
                <w:rFonts w:ascii="Times New Roman" w:hAnsi="Times New Roman"/>
                <w:sz w:val="24"/>
                <w:szCs w:val="24"/>
                <w:lang w:eastAsia="it-IT"/>
              </w:rPr>
              <w:t xml:space="preserve"> 2018-2020</w:t>
            </w:r>
            <w:r>
              <w:rPr>
                <w:rFonts w:ascii="Times New Roman" w:hAnsi="Times New Roman"/>
                <w:sz w:val="24"/>
                <w:szCs w:val="24"/>
                <w:lang w:eastAsia="it-IT"/>
              </w:rPr>
              <w:t xml:space="preserve">, rientra nell’ottica indicata dal </w:t>
            </w:r>
            <w:proofErr w:type="spellStart"/>
            <w:r>
              <w:rPr>
                <w:rFonts w:ascii="Times New Roman" w:hAnsi="Times New Roman"/>
                <w:sz w:val="24"/>
                <w:szCs w:val="24"/>
                <w:lang w:eastAsia="it-IT"/>
              </w:rPr>
              <w:t>D.Lgs.</w:t>
            </w:r>
            <w:proofErr w:type="spellEnd"/>
            <w:r>
              <w:rPr>
                <w:rFonts w:ascii="Times New Roman" w:hAnsi="Times New Roman"/>
                <w:sz w:val="24"/>
                <w:szCs w:val="24"/>
                <w:lang w:eastAsia="it-IT"/>
              </w:rPr>
              <w:t xml:space="preserve"> n. 74/2017 di riconnettere il Piano delle Performance con gli altri strumenti strategici, programmatori e gestionali delle pubbliche amministrazioni. </w:t>
            </w:r>
          </w:p>
          <w:p w:rsidR="00E1436A" w:rsidRPr="00E63330" w:rsidRDefault="0096592E" w:rsidP="0028440C">
            <w:pPr>
              <w:jc w:val="both"/>
              <w:rPr>
                <w:rFonts w:ascii="Times New Roman" w:hAnsi="Times New Roman"/>
                <w:sz w:val="24"/>
                <w:szCs w:val="24"/>
                <w:lang w:eastAsia="it-IT"/>
              </w:rPr>
            </w:pPr>
            <w:r>
              <w:rPr>
                <w:rFonts w:ascii="Times New Roman" w:hAnsi="Times New Roman"/>
                <w:sz w:val="24"/>
                <w:szCs w:val="24"/>
                <w:lang w:eastAsia="it-IT"/>
              </w:rPr>
              <w:t xml:space="preserve">Al fine di alzare ulteriormente </w:t>
            </w:r>
            <w:r w:rsidR="0053404D">
              <w:rPr>
                <w:rFonts w:ascii="Times New Roman" w:hAnsi="Times New Roman"/>
                <w:sz w:val="24"/>
                <w:szCs w:val="24"/>
                <w:lang w:eastAsia="it-IT"/>
              </w:rPr>
              <w:t xml:space="preserve">il livello di </w:t>
            </w:r>
            <w:r>
              <w:rPr>
                <w:rFonts w:ascii="Times New Roman" w:hAnsi="Times New Roman"/>
                <w:sz w:val="24"/>
                <w:szCs w:val="24"/>
                <w:lang w:eastAsia="it-IT"/>
              </w:rPr>
              <w:t>attenzione sul tema degli equilibri finanziari dell’Ente, a partire dal presente Piano</w:t>
            </w:r>
            <w:r w:rsidR="0053404D">
              <w:rPr>
                <w:rFonts w:ascii="Times New Roman" w:hAnsi="Times New Roman"/>
                <w:sz w:val="24"/>
                <w:szCs w:val="24"/>
                <w:lang w:eastAsia="it-IT"/>
              </w:rPr>
              <w:t>,</w:t>
            </w:r>
            <w:r>
              <w:rPr>
                <w:rFonts w:ascii="Times New Roman" w:hAnsi="Times New Roman"/>
                <w:sz w:val="24"/>
                <w:szCs w:val="24"/>
                <w:lang w:eastAsia="it-IT"/>
              </w:rPr>
              <w:t xml:space="preserve"> i predetti indicatori sono confluiti in un obiettivo autonomo. </w:t>
            </w:r>
          </w:p>
          <w:p w:rsidR="00210CA9" w:rsidRDefault="0096592E" w:rsidP="007D596D">
            <w:pPr>
              <w:jc w:val="both"/>
              <w:rPr>
                <w:rFonts w:ascii="Times New Roman" w:hAnsi="Times New Roman"/>
                <w:sz w:val="24"/>
                <w:szCs w:val="24"/>
                <w:lang w:eastAsia="it-IT"/>
              </w:rPr>
            </w:pPr>
            <w:r w:rsidRPr="00E62146">
              <w:rPr>
                <w:rFonts w:ascii="Times New Roman" w:hAnsi="Times New Roman"/>
                <w:sz w:val="24"/>
                <w:szCs w:val="24"/>
                <w:lang w:eastAsia="it-IT"/>
              </w:rPr>
              <w:t xml:space="preserve">Inoltre, recependo il nuovo suggerimento dell’OIV, è stata inserita nel Piano una sezione </w:t>
            </w:r>
            <w:r w:rsidR="0053404D">
              <w:rPr>
                <w:rFonts w:ascii="Times New Roman" w:hAnsi="Times New Roman"/>
                <w:sz w:val="24"/>
                <w:szCs w:val="24"/>
                <w:lang w:eastAsia="it-IT"/>
              </w:rPr>
              <w:t xml:space="preserve">sperimentale </w:t>
            </w:r>
            <w:r w:rsidRPr="00E62146">
              <w:rPr>
                <w:rFonts w:ascii="Times New Roman" w:hAnsi="Times New Roman"/>
                <w:sz w:val="24"/>
                <w:szCs w:val="24"/>
                <w:lang w:eastAsia="it-IT"/>
              </w:rPr>
              <w:t>contenente la serie storica relativa agli ultimi 3 anni, così da rendere evidente anche il trend di tali indicatori</w:t>
            </w:r>
            <w:r w:rsidR="00AE576E">
              <w:rPr>
                <w:rFonts w:ascii="Times New Roman" w:hAnsi="Times New Roman"/>
                <w:sz w:val="24"/>
                <w:szCs w:val="24"/>
                <w:lang w:eastAsia="it-IT"/>
              </w:rPr>
              <w:t xml:space="preserve"> e permettere di confrontare la loro evoluzione nel tempo</w:t>
            </w:r>
            <w:r w:rsidRPr="00E62146">
              <w:rPr>
                <w:rFonts w:ascii="Times New Roman" w:hAnsi="Times New Roman"/>
                <w:sz w:val="24"/>
                <w:szCs w:val="24"/>
                <w:lang w:eastAsia="it-IT"/>
              </w:rPr>
              <w:t xml:space="preserve">. </w:t>
            </w:r>
          </w:p>
          <w:p w:rsidR="00164067" w:rsidRPr="00E63330" w:rsidRDefault="00210CA9" w:rsidP="007D596D">
            <w:pPr>
              <w:jc w:val="both"/>
              <w:rPr>
                <w:rFonts w:ascii="Times New Roman" w:hAnsi="Times New Roman"/>
                <w:sz w:val="24"/>
                <w:szCs w:val="24"/>
                <w:lang w:eastAsia="it-IT"/>
              </w:rPr>
            </w:pPr>
            <w:r>
              <w:rPr>
                <w:rFonts w:ascii="Times New Roman" w:hAnsi="Times New Roman"/>
                <w:sz w:val="24"/>
                <w:szCs w:val="24"/>
                <w:lang w:eastAsia="it-IT"/>
              </w:rPr>
              <w:t xml:space="preserve">Per fornire maggiore visibilità a tale sezione, i contenuti sono stati riportati, sotto forma di slide, nell’allegato </w:t>
            </w:r>
            <w:proofErr w:type="spellStart"/>
            <w:r>
              <w:rPr>
                <w:rFonts w:ascii="Times New Roman" w:hAnsi="Times New Roman"/>
                <w:sz w:val="24"/>
                <w:szCs w:val="24"/>
                <w:lang w:eastAsia="it-IT"/>
              </w:rPr>
              <w:t>num</w:t>
            </w:r>
            <w:proofErr w:type="spellEnd"/>
            <w:r>
              <w:rPr>
                <w:rFonts w:ascii="Times New Roman" w:hAnsi="Times New Roman"/>
                <w:sz w:val="24"/>
                <w:szCs w:val="24"/>
                <w:lang w:eastAsia="it-IT"/>
              </w:rPr>
              <w:t>. 2 del presente Piano.</w:t>
            </w:r>
            <w:bookmarkEnd w:id="10"/>
            <w:bookmarkEnd w:id="11"/>
          </w:p>
        </w:tc>
      </w:tr>
      <w:tr w:rsidR="00164067" w:rsidRPr="00E63330" w:rsidTr="007971CF">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color w:val="000000"/>
                <w:sz w:val="24"/>
                <w:szCs w:val="24"/>
                <w:lang w:eastAsia="it-IT"/>
              </w:rPr>
              <w:lastRenderedPageBreak/>
              <w:t>E’ opportuno confermare le specifiche iniziative per diffondere agli stakeholder interni ed esterni i contenuti sia del Piano della performance che della relazione (peraltro espressamente previsti dall’art. 10, comma 6, del d.lgs. 33/2013), rispetto alle quali l’OIV è disponibile ad azioni congiunte e collaborative;</w:t>
            </w:r>
          </w:p>
        </w:tc>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bookmarkStart w:id="12" w:name="OLE_LINK290"/>
            <w:bookmarkStart w:id="13" w:name="OLE_LINK291"/>
            <w:r>
              <w:rPr>
                <w:rFonts w:ascii="Times New Roman" w:hAnsi="Times New Roman"/>
                <w:sz w:val="24"/>
                <w:szCs w:val="24"/>
                <w:lang w:eastAsia="it-IT"/>
              </w:rPr>
              <w:t xml:space="preserve">Si premette che l’ARCEA prevede incontri periodici, ed in taluni casi continui, con i principali </w:t>
            </w:r>
            <w:proofErr w:type="spellStart"/>
            <w:r>
              <w:rPr>
                <w:rFonts w:ascii="Times New Roman" w:hAnsi="Times New Roman"/>
                <w:sz w:val="24"/>
                <w:szCs w:val="24"/>
                <w:lang w:eastAsia="it-IT"/>
              </w:rPr>
              <w:t>stakeholders</w:t>
            </w:r>
            <w:proofErr w:type="spellEnd"/>
            <w:r>
              <w:rPr>
                <w:rFonts w:ascii="Times New Roman" w:hAnsi="Times New Roman"/>
                <w:sz w:val="24"/>
                <w:szCs w:val="24"/>
                <w:lang w:eastAsia="it-IT"/>
              </w:rPr>
              <w:t xml:space="preserve"> interni ed esterni, che in alcuni casi hanno anche funzioni ispettive nei confronti dell’Ente. </w:t>
            </w:r>
          </w:p>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Ad esempio, </w:t>
            </w:r>
            <w:r w:rsidR="0053404D">
              <w:rPr>
                <w:rFonts w:ascii="Times New Roman" w:hAnsi="Times New Roman"/>
                <w:sz w:val="24"/>
                <w:szCs w:val="24"/>
                <w:lang w:eastAsia="it-IT"/>
              </w:rPr>
              <w:t>i</w:t>
            </w:r>
            <w:r>
              <w:rPr>
                <w:rFonts w:ascii="Times New Roman" w:hAnsi="Times New Roman"/>
                <w:sz w:val="24"/>
                <w:szCs w:val="24"/>
                <w:lang w:eastAsia="it-IT"/>
              </w:rPr>
              <w:t xml:space="preserve"> Centri di Assistenza Agricola sono convocati con periodicità costante presso la sede dell’Agenzia al fine di valutare l’andamento della situazione in merito alle Funzioni dell’Agenzia che, essendo fortemente regolamentate, sono direttamente connesse agli obiettivi di Performance. </w:t>
            </w:r>
          </w:p>
          <w:p w:rsidR="00132E09" w:rsidRPr="00E63330" w:rsidRDefault="0096592E" w:rsidP="00CB25F0">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Inoltre, ARCEA, volendo ulteriormente sottolineare la volontà di adempiere ai propri compiti istituzionali che la pongono da un lato come presidio di legalità e trasparenza nell’ambito del processo di erogazione dei contributi comunitari in agricoltura e dall’altro la investono di una responsabilità legata al superamento delle difficoltà connesse alla fruizione degli aiuti, ha voluto legare un </w:t>
            </w:r>
            <w:r>
              <w:rPr>
                <w:rFonts w:ascii="Times New Roman" w:hAnsi="Times New Roman"/>
                <w:sz w:val="24"/>
                <w:szCs w:val="24"/>
                <w:lang w:eastAsia="it-IT"/>
              </w:rPr>
              <w:lastRenderedPageBreak/>
              <w:t>indicatore di impatto alle valutazioni fornite dagli Operatori dei CAA al termine di ogni incontro press</w:t>
            </w:r>
            <w:r w:rsidR="007D596D">
              <w:rPr>
                <w:rFonts w:ascii="Times New Roman" w:hAnsi="Times New Roman"/>
                <w:sz w:val="24"/>
                <w:szCs w:val="24"/>
                <w:lang w:eastAsia="it-IT"/>
              </w:rPr>
              <w:t>o</w:t>
            </w:r>
            <w:r>
              <w:rPr>
                <w:rFonts w:ascii="Times New Roman" w:hAnsi="Times New Roman"/>
                <w:sz w:val="24"/>
                <w:szCs w:val="24"/>
                <w:lang w:eastAsia="it-IT"/>
              </w:rPr>
              <w:t xml:space="preserve"> l’Agenzia. A tal fine, è stata anche arricchita con nuove funzionalità la procedura di interscambio informazioni che permette sia di prenotare appuntamenti con lo sportello informativo sia di anticipare le problematiche di cui si vuole discutere con l’obiettivo precipuo di ottimizzare i tempi ed il servizio reso alla collettività.</w:t>
            </w:r>
            <w:bookmarkEnd w:id="12"/>
            <w:bookmarkEnd w:id="13"/>
          </w:p>
          <w:p w:rsidR="00CB25F0" w:rsidRPr="00E62146" w:rsidRDefault="0096592E" w:rsidP="00CB25F0">
            <w:pPr>
              <w:autoSpaceDE w:val="0"/>
              <w:autoSpaceDN w:val="0"/>
              <w:adjustRightInd w:val="0"/>
              <w:spacing w:after="0"/>
              <w:jc w:val="both"/>
              <w:rPr>
                <w:rFonts w:ascii="Times New Roman" w:hAnsi="Times New Roman"/>
                <w:sz w:val="24"/>
                <w:szCs w:val="24"/>
                <w:lang w:eastAsia="it-IT"/>
              </w:rPr>
            </w:pPr>
            <w:r w:rsidRPr="00E62146">
              <w:rPr>
                <w:rFonts w:ascii="Times New Roman" w:hAnsi="Times New Roman"/>
                <w:sz w:val="24"/>
                <w:szCs w:val="24"/>
                <w:lang w:eastAsia="it-IT"/>
              </w:rPr>
              <w:t xml:space="preserve">Infine, con l’obiettivo di esplicitare ulteriormente l’importanza di tale aspetto, a partire dal presente Piano gli incontri con gli </w:t>
            </w:r>
            <w:proofErr w:type="spellStart"/>
            <w:r w:rsidRPr="00E62146">
              <w:rPr>
                <w:rFonts w:ascii="Times New Roman" w:hAnsi="Times New Roman"/>
                <w:sz w:val="24"/>
                <w:szCs w:val="24"/>
                <w:lang w:eastAsia="it-IT"/>
              </w:rPr>
              <w:t>stakeholders</w:t>
            </w:r>
            <w:proofErr w:type="spellEnd"/>
            <w:r w:rsidRPr="00E62146">
              <w:rPr>
                <w:rFonts w:ascii="Times New Roman" w:hAnsi="Times New Roman"/>
                <w:sz w:val="24"/>
                <w:szCs w:val="24"/>
                <w:lang w:eastAsia="it-IT"/>
              </w:rPr>
              <w:t xml:space="preserve"> sono stati ricompresi in un apposito indicatore che inciderà direttamente sulle performance di tutti gli uffici dell’ARCEA. </w:t>
            </w:r>
          </w:p>
        </w:tc>
      </w:tr>
      <w:tr w:rsidR="00164067" w:rsidRPr="00E63330" w:rsidTr="007971CF">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color w:val="000000"/>
                <w:sz w:val="24"/>
                <w:szCs w:val="24"/>
                <w:lang w:eastAsia="it-IT"/>
              </w:rPr>
              <w:lastRenderedPageBreak/>
              <w:t>E’ necessario confermare la pubblicazione, già avvenuta nel corso del 2017, di un autonomo rapporto semestrale sullo stato di attuazione degli obiettivi di performance come peraltro previsto dall’art. 10, comma 4, del d.lgs. 33/2013;</w:t>
            </w:r>
          </w:p>
        </w:tc>
        <w:tc>
          <w:tcPr>
            <w:tcW w:w="4818" w:type="dxa"/>
            <w:shd w:val="clear" w:color="auto" w:fill="auto"/>
          </w:tcPr>
          <w:p w:rsidR="00164067" w:rsidRPr="00E63330" w:rsidRDefault="0096592E" w:rsidP="007971CF">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A partire dal Piano delle Performance 2017, ARCEA ha implementato una procedura di revisione semestrale dello stato di attuazione degli obiettivi di performance, i cui esiti rappresentano anche un prezioso contributo per il dimensionamento di obiettivi e indicatori per l’anno n+1. </w:t>
            </w:r>
          </w:p>
          <w:p w:rsidR="00470614" w:rsidRPr="00E63330" w:rsidRDefault="0096592E" w:rsidP="007971CF">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La procedura, inoltre, è diventata parte integrante del processo di rivisitazione degli indicatori finalizzato a garantire sempre la fissazione di risultati attesi sfidanti ed in grado di condurre ad un concreto miglioramento dei servizi e delle attività dell’Agenzia. </w:t>
            </w:r>
          </w:p>
          <w:p w:rsidR="00470614" w:rsidRPr="00E63330" w:rsidRDefault="0096592E" w:rsidP="00CB25F0">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 dati provenienti dal monitoraggio </w:t>
            </w:r>
            <w:proofErr w:type="spellStart"/>
            <w:r>
              <w:rPr>
                <w:rFonts w:ascii="Times New Roman" w:hAnsi="Times New Roman"/>
                <w:sz w:val="24"/>
                <w:szCs w:val="24"/>
                <w:lang w:eastAsia="it-IT"/>
              </w:rPr>
              <w:t>infrannuale</w:t>
            </w:r>
            <w:proofErr w:type="spellEnd"/>
            <w:r>
              <w:rPr>
                <w:rFonts w:ascii="Times New Roman" w:hAnsi="Times New Roman"/>
                <w:sz w:val="24"/>
                <w:szCs w:val="24"/>
                <w:lang w:eastAsia="it-IT"/>
              </w:rPr>
              <w:t xml:space="preserve">, infatti, sono utilizzati insieme alla misurazione, ancora fisiologicamente non definitiva di fine anno, al fine di verificare i risultati raggiunti e comprendere quale sia il valore più opportuno per la determinazione del target di un indicatore, se un obiettivo operativo possa considerarsi ormai non più rappresentativo o debba essere misurato attraverso differenti indicatori. Ciò ha portato ad una profonda attività di modifica degli obiettivi e degli indicatori, descritta in dettaglio nelle prossime sezioni del Piano. </w:t>
            </w:r>
          </w:p>
          <w:p w:rsidR="001378E6" w:rsidRPr="00E62146" w:rsidRDefault="0096592E">
            <w:pPr>
              <w:autoSpaceDE w:val="0"/>
              <w:autoSpaceDN w:val="0"/>
              <w:adjustRightInd w:val="0"/>
              <w:spacing w:after="0"/>
              <w:jc w:val="both"/>
              <w:rPr>
                <w:rFonts w:ascii="Times New Roman" w:hAnsi="Times New Roman"/>
                <w:sz w:val="24"/>
                <w:szCs w:val="24"/>
                <w:lang w:eastAsia="it-IT"/>
              </w:rPr>
            </w:pPr>
            <w:r w:rsidRPr="00E62146">
              <w:rPr>
                <w:rFonts w:ascii="Times New Roman" w:hAnsi="Times New Roman"/>
                <w:sz w:val="24"/>
                <w:szCs w:val="24"/>
                <w:lang w:eastAsia="it-IT"/>
              </w:rPr>
              <w:t xml:space="preserve">Anche in questo caso, con il fine di rafforzare tale aspetto è stato inserito un apposito indicatore, riconnesso alla partecipazione degli </w:t>
            </w:r>
            <w:r w:rsidRPr="00E62146">
              <w:rPr>
                <w:rFonts w:ascii="Times New Roman" w:hAnsi="Times New Roman"/>
                <w:sz w:val="24"/>
                <w:szCs w:val="24"/>
                <w:lang w:eastAsia="it-IT"/>
              </w:rPr>
              <w:lastRenderedPageBreak/>
              <w:t xml:space="preserve">uffici al monitoraggio intermedio ed alla fornitura in tempo utile di report e documenti, che incide sulle performance di tutto il personale </w:t>
            </w:r>
          </w:p>
        </w:tc>
      </w:tr>
      <w:tr w:rsidR="00132E09" w:rsidRPr="00E63330" w:rsidTr="007971CF">
        <w:tc>
          <w:tcPr>
            <w:tcW w:w="4818" w:type="dxa"/>
            <w:shd w:val="clear" w:color="auto" w:fill="auto"/>
          </w:tcPr>
          <w:p w:rsidR="00132E09" w:rsidRPr="00E63330" w:rsidRDefault="0096592E" w:rsidP="007971CF">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sz w:val="24"/>
                <w:szCs w:val="24"/>
                <w:lang w:eastAsia="it-IT"/>
              </w:rPr>
              <w:lastRenderedPageBreak/>
              <w:t xml:space="preserve">Qualora si attivino progetti obiettivo finanziati con il ricorso all’art. 15, comma 5, del CCNL 1.4.1999 occorre operare in linea con quanto suggerito nel presente documento; </w:t>
            </w:r>
          </w:p>
        </w:tc>
        <w:tc>
          <w:tcPr>
            <w:tcW w:w="4818" w:type="dxa"/>
            <w:vMerge w:val="restart"/>
            <w:shd w:val="clear" w:color="auto" w:fill="auto"/>
          </w:tcPr>
          <w:p w:rsidR="001378E6" w:rsidRDefault="0096592E">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Questi due punti sono in corso di analisi all’interno del procedura di revisione del Sistema per la Valutazione e Misurazione delle Performance</w:t>
            </w:r>
            <w:r w:rsidR="007D596D">
              <w:rPr>
                <w:rFonts w:ascii="Times New Roman" w:hAnsi="Times New Roman"/>
                <w:sz w:val="24"/>
                <w:szCs w:val="24"/>
                <w:lang w:eastAsia="it-IT"/>
              </w:rPr>
              <w:t xml:space="preserve"> </w:t>
            </w:r>
            <w:r>
              <w:rPr>
                <w:rFonts w:ascii="Times New Roman" w:hAnsi="Times New Roman"/>
                <w:sz w:val="24"/>
                <w:szCs w:val="24"/>
                <w:lang w:eastAsia="it-IT"/>
              </w:rPr>
              <w:t>che sarà sottoposto al</w:t>
            </w:r>
            <w:r w:rsidR="007D596D">
              <w:rPr>
                <w:rFonts w:ascii="Times New Roman" w:hAnsi="Times New Roman"/>
                <w:sz w:val="24"/>
                <w:szCs w:val="24"/>
                <w:lang w:eastAsia="it-IT"/>
              </w:rPr>
              <w:t xml:space="preserve"> </w:t>
            </w:r>
            <w:r>
              <w:rPr>
                <w:rFonts w:ascii="Times New Roman" w:hAnsi="Times New Roman"/>
                <w:sz w:val="24"/>
                <w:szCs w:val="24"/>
                <w:lang w:eastAsia="it-IT"/>
              </w:rPr>
              <w:t>parere vincolante dell’Organismo Indipendente di Valutazione.</w:t>
            </w:r>
          </w:p>
          <w:p w:rsidR="001378E6" w:rsidRPr="003C3367" w:rsidRDefault="001378E6" w:rsidP="003C3367">
            <w:pPr>
              <w:autoSpaceDE w:val="0"/>
              <w:autoSpaceDN w:val="0"/>
              <w:adjustRightInd w:val="0"/>
              <w:spacing w:after="0"/>
              <w:jc w:val="both"/>
              <w:rPr>
                <w:rFonts w:ascii="Times New Roman" w:hAnsi="Times New Roman"/>
                <w:sz w:val="24"/>
                <w:szCs w:val="24"/>
                <w:lang w:eastAsia="it-IT"/>
              </w:rPr>
            </w:pPr>
          </w:p>
          <w:p w:rsidR="001378E6" w:rsidRPr="00E62146" w:rsidRDefault="0096592E">
            <w:pPr>
              <w:autoSpaceDE w:val="0"/>
              <w:autoSpaceDN w:val="0"/>
              <w:adjustRightInd w:val="0"/>
              <w:spacing w:after="0"/>
              <w:jc w:val="both"/>
              <w:rPr>
                <w:rFonts w:ascii="Times New Roman" w:hAnsi="Times New Roman"/>
                <w:sz w:val="24"/>
                <w:szCs w:val="24"/>
                <w:lang w:eastAsia="it-IT"/>
              </w:rPr>
            </w:pPr>
            <w:r w:rsidRPr="00E62146">
              <w:rPr>
                <w:rFonts w:ascii="Times New Roman" w:hAnsi="Times New Roman"/>
                <w:sz w:val="24"/>
                <w:szCs w:val="24"/>
                <w:lang w:eastAsia="it-IT"/>
              </w:rPr>
              <w:t xml:space="preserve">Si precisa, comunque, che l’ARCEA non ha ancora mai attivato progetti obiettivo. </w:t>
            </w:r>
          </w:p>
        </w:tc>
      </w:tr>
      <w:tr w:rsidR="00132E09" w:rsidRPr="00E63330" w:rsidTr="007971CF">
        <w:tc>
          <w:tcPr>
            <w:tcW w:w="4818" w:type="dxa"/>
            <w:shd w:val="clear" w:color="auto" w:fill="auto"/>
          </w:tcPr>
          <w:p w:rsidR="00132E09" w:rsidRPr="00E63330" w:rsidRDefault="0096592E" w:rsidP="007971CF">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color w:val="000000"/>
                <w:sz w:val="24"/>
                <w:szCs w:val="24"/>
                <w:lang w:eastAsia="it-IT"/>
              </w:rPr>
              <w:t>E’ opportuno che vengano definiti criteri uniformi per la verifica e la valutazione degli adempimenti dai quali specifiche previsioni di legge fanno discendere la rilevanza ai fini della performance individuale, sulla scia di quanto già fatto con l’aggiornamento del regolamento di disciplina della performance.</w:t>
            </w:r>
          </w:p>
        </w:tc>
        <w:tc>
          <w:tcPr>
            <w:tcW w:w="4818" w:type="dxa"/>
            <w:vMerge/>
            <w:shd w:val="clear" w:color="auto" w:fill="auto"/>
          </w:tcPr>
          <w:p w:rsidR="00132E09" w:rsidRPr="00E63330" w:rsidRDefault="00132E09" w:rsidP="007971CF">
            <w:pPr>
              <w:autoSpaceDE w:val="0"/>
              <w:autoSpaceDN w:val="0"/>
              <w:adjustRightInd w:val="0"/>
              <w:spacing w:after="0"/>
              <w:jc w:val="both"/>
              <w:rPr>
                <w:rFonts w:ascii="Times New Roman" w:hAnsi="Times New Roman"/>
                <w:sz w:val="24"/>
                <w:szCs w:val="24"/>
                <w:lang w:eastAsia="it-IT"/>
              </w:rPr>
            </w:pPr>
          </w:p>
        </w:tc>
      </w:tr>
      <w:tr w:rsidR="00534CCA" w:rsidRPr="00E63330" w:rsidTr="007971CF">
        <w:tc>
          <w:tcPr>
            <w:tcW w:w="4818" w:type="dxa"/>
            <w:shd w:val="clear" w:color="auto" w:fill="auto"/>
          </w:tcPr>
          <w:p w:rsidR="00534CCA" w:rsidRPr="003C3367" w:rsidRDefault="007D596D" w:rsidP="009B7CE6">
            <w:pPr>
              <w:autoSpaceDE w:val="0"/>
              <w:autoSpaceDN w:val="0"/>
              <w:adjustRightInd w:val="0"/>
              <w:spacing w:after="0"/>
              <w:jc w:val="both"/>
              <w:rPr>
                <w:rFonts w:ascii="Times New Roman" w:hAnsi="Times New Roman"/>
                <w:color w:val="000000"/>
                <w:sz w:val="24"/>
                <w:szCs w:val="24"/>
                <w:lang w:eastAsia="it-IT"/>
              </w:rPr>
            </w:pPr>
            <w:r w:rsidRPr="007D596D">
              <w:rPr>
                <w:rFonts w:ascii="Times New Roman" w:hAnsi="Times New Roman"/>
                <w:sz w:val="24"/>
                <w:szCs w:val="24"/>
                <w:lang w:eastAsia="it-IT"/>
              </w:rPr>
              <w:t xml:space="preserve">Nella </w:t>
            </w:r>
            <w:r w:rsidRPr="003C3367">
              <w:rPr>
                <w:rFonts w:ascii="Times New Roman" w:hAnsi="Times New Roman"/>
                <w:sz w:val="24"/>
                <w:szCs w:val="24"/>
                <w:lang w:eastAsia="it-IT"/>
              </w:rPr>
              <w:t xml:space="preserve">Relazione </w:t>
            </w:r>
            <w:r w:rsidRPr="007D596D">
              <w:rPr>
                <w:rFonts w:ascii="Times New Roman" w:hAnsi="Times New Roman"/>
                <w:sz w:val="24"/>
                <w:szCs w:val="24"/>
                <w:lang w:eastAsia="it-IT"/>
              </w:rPr>
              <w:t xml:space="preserve">sul </w:t>
            </w:r>
            <w:r w:rsidRPr="003C3367">
              <w:rPr>
                <w:rFonts w:ascii="Times New Roman" w:hAnsi="Times New Roman"/>
                <w:sz w:val="24"/>
                <w:szCs w:val="24"/>
                <w:lang w:eastAsia="it-IT"/>
              </w:rPr>
              <w:t>funzionamento complessivo del Sistema di valutazione</w:t>
            </w:r>
            <w:r>
              <w:rPr>
                <w:rFonts w:ascii="Times New Roman" w:hAnsi="Times New Roman"/>
                <w:color w:val="000000"/>
                <w:sz w:val="24"/>
                <w:szCs w:val="24"/>
                <w:lang w:eastAsia="it-IT"/>
              </w:rPr>
              <w:t>, al paragrafo “</w:t>
            </w:r>
            <w:r w:rsidRPr="007D596D">
              <w:rPr>
                <w:rFonts w:ascii="Times New Roman" w:hAnsi="Times New Roman"/>
                <w:color w:val="000000"/>
                <w:sz w:val="24"/>
                <w:szCs w:val="24"/>
                <w:lang w:eastAsia="it-IT"/>
              </w:rPr>
              <w:t>3.3 Processo di attuazione del ciclo della performance</w:t>
            </w:r>
            <w:r>
              <w:rPr>
                <w:rFonts w:ascii="Times New Roman" w:hAnsi="Times New Roman"/>
                <w:color w:val="000000"/>
                <w:sz w:val="24"/>
                <w:szCs w:val="24"/>
                <w:lang w:eastAsia="it-IT"/>
              </w:rPr>
              <w:t xml:space="preserve">”, </w:t>
            </w:r>
            <w:r w:rsidR="00534CCA" w:rsidRPr="003C3367">
              <w:rPr>
                <w:rFonts w:ascii="Times New Roman" w:hAnsi="Times New Roman"/>
                <w:color w:val="000000"/>
                <w:sz w:val="24"/>
                <w:szCs w:val="24"/>
                <w:lang w:eastAsia="it-IT"/>
              </w:rPr>
              <w:t xml:space="preserve">sono state formulate </w:t>
            </w:r>
            <w:r>
              <w:rPr>
                <w:rFonts w:ascii="Times New Roman" w:hAnsi="Times New Roman"/>
                <w:color w:val="000000"/>
                <w:sz w:val="24"/>
                <w:szCs w:val="24"/>
                <w:lang w:eastAsia="it-IT"/>
              </w:rPr>
              <w:t>dall’OIV ulteriori</w:t>
            </w:r>
            <w:r w:rsidR="00534CCA" w:rsidRPr="003C3367">
              <w:rPr>
                <w:rFonts w:ascii="Times New Roman" w:hAnsi="Times New Roman"/>
                <w:color w:val="000000"/>
                <w:sz w:val="24"/>
                <w:szCs w:val="24"/>
                <w:lang w:eastAsia="it-IT"/>
              </w:rPr>
              <w:t xml:space="preserve"> osservazioni funzionali al miglioramento continuo del sistema di misurazione e valutazione </w:t>
            </w:r>
            <w:r>
              <w:rPr>
                <w:rFonts w:ascii="Times New Roman" w:hAnsi="Times New Roman"/>
                <w:color w:val="000000"/>
                <w:sz w:val="24"/>
                <w:szCs w:val="24"/>
                <w:lang w:eastAsia="it-IT"/>
              </w:rPr>
              <w:t xml:space="preserve">tra le quali è presente il suggerimento finalizzato a stabilire </w:t>
            </w:r>
            <w:r w:rsidR="00534CCA" w:rsidRPr="003C3367">
              <w:rPr>
                <w:rFonts w:ascii="Times New Roman" w:hAnsi="Times New Roman"/>
                <w:color w:val="000000"/>
                <w:sz w:val="24"/>
                <w:szCs w:val="24"/>
                <w:lang w:eastAsia="it-IT"/>
              </w:rPr>
              <w:t>che le attività di monitoraggio, come peraltro implicitamente previsto dagli artt. 6 e 14 del d.lgs. 150/20009, siano svolte dalla strutture interne preposte al controllo strategico ;</w:t>
            </w:r>
          </w:p>
          <w:p w:rsidR="00534CCA" w:rsidRPr="003C3367" w:rsidRDefault="00534CCA" w:rsidP="007971CF">
            <w:pPr>
              <w:autoSpaceDE w:val="0"/>
              <w:autoSpaceDN w:val="0"/>
              <w:adjustRightInd w:val="0"/>
              <w:spacing w:after="0"/>
              <w:jc w:val="both"/>
              <w:rPr>
                <w:rFonts w:ascii="Times New Roman" w:hAnsi="Times New Roman"/>
                <w:color w:val="000000"/>
                <w:sz w:val="24"/>
                <w:szCs w:val="24"/>
                <w:highlight w:val="red"/>
                <w:lang w:eastAsia="it-IT"/>
              </w:rPr>
            </w:pPr>
          </w:p>
        </w:tc>
        <w:tc>
          <w:tcPr>
            <w:tcW w:w="4818" w:type="dxa"/>
            <w:shd w:val="clear" w:color="auto" w:fill="auto"/>
          </w:tcPr>
          <w:p w:rsidR="00534CCA" w:rsidRPr="007D596D" w:rsidRDefault="00534CCA">
            <w:pPr>
              <w:autoSpaceDE w:val="0"/>
              <w:autoSpaceDN w:val="0"/>
              <w:adjustRightInd w:val="0"/>
              <w:spacing w:after="0"/>
              <w:jc w:val="both"/>
              <w:rPr>
                <w:rFonts w:ascii="Times New Roman" w:hAnsi="Times New Roman"/>
                <w:sz w:val="24"/>
                <w:szCs w:val="24"/>
              </w:rPr>
            </w:pPr>
            <w:r w:rsidRPr="003C3367">
              <w:rPr>
                <w:sz w:val="24"/>
                <w:szCs w:val="24"/>
              </w:rPr>
              <w:t>I</w:t>
            </w:r>
            <w:r w:rsidRPr="003C3367">
              <w:rPr>
                <w:rFonts w:ascii="Times New Roman" w:hAnsi="Times New Roman"/>
                <w:sz w:val="24"/>
                <w:szCs w:val="24"/>
              </w:rPr>
              <w:t>n considerazione di quanto prescritto dall’OIV</w:t>
            </w:r>
            <w:r w:rsidR="00AE576E">
              <w:rPr>
                <w:rFonts w:ascii="Times New Roman" w:hAnsi="Times New Roman"/>
                <w:sz w:val="24"/>
                <w:szCs w:val="24"/>
              </w:rPr>
              <w:t>,</w:t>
            </w:r>
            <w:r w:rsidRPr="003C3367">
              <w:rPr>
                <w:rFonts w:ascii="Times New Roman" w:hAnsi="Times New Roman"/>
                <w:sz w:val="24"/>
                <w:szCs w:val="24"/>
              </w:rPr>
              <w:t xml:space="preserve"> è stata effettuata con decreto n. </w:t>
            </w:r>
            <w:r w:rsidR="004D67C1" w:rsidRPr="003C3367">
              <w:rPr>
                <w:rFonts w:ascii="Times New Roman" w:hAnsi="Times New Roman"/>
                <w:sz w:val="24"/>
                <w:szCs w:val="24"/>
              </w:rPr>
              <w:t xml:space="preserve">222 del 21.09.2018 </w:t>
            </w:r>
            <w:r w:rsidRPr="003C3367">
              <w:rPr>
                <w:rFonts w:ascii="Times New Roman" w:hAnsi="Times New Roman"/>
                <w:sz w:val="24"/>
                <w:szCs w:val="24"/>
              </w:rPr>
              <w:t xml:space="preserve"> una modifica alla struttura organizzativa</w:t>
            </w:r>
            <w:r w:rsidR="004D67C1" w:rsidRPr="003C3367">
              <w:rPr>
                <w:rFonts w:ascii="Times New Roman" w:hAnsi="Times New Roman"/>
                <w:sz w:val="24"/>
                <w:szCs w:val="24"/>
              </w:rPr>
              <w:t xml:space="preserve"> che ha previsto l’introduzione di un’area dedicata al controllo strategico</w:t>
            </w:r>
            <w:r w:rsidRPr="003C3367">
              <w:rPr>
                <w:rFonts w:ascii="Times New Roman" w:hAnsi="Times New Roman"/>
                <w:sz w:val="24"/>
                <w:szCs w:val="24"/>
              </w:rPr>
              <w:t xml:space="preserve"> .</w:t>
            </w:r>
          </w:p>
          <w:p w:rsidR="007D596D" w:rsidRPr="007D596D" w:rsidRDefault="007D596D">
            <w:pPr>
              <w:autoSpaceDE w:val="0"/>
              <w:autoSpaceDN w:val="0"/>
              <w:adjustRightInd w:val="0"/>
              <w:spacing w:after="0"/>
              <w:jc w:val="both"/>
              <w:rPr>
                <w:rFonts w:ascii="Times New Roman" w:hAnsi="Times New Roman"/>
                <w:sz w:val="24"/>
                <w:szCs w:val="24"/>
              </w:rPr>
            </w:pPr>
          </w:p>
          <w:p w:rsidR="007D596D" w:rsidRPr="003C3367" w:rsidRDefault="007D596D" w:rsidP="00794DF8">
            <w:pPr>
              <w:autoSpaceDE w:val="0"/>
              <w:autoSpaceDN w:val="0"/>
              <w:adjustRightInd w:val="0"/>
              <w:spacing w:after="0"/>
              <w:jc w:val="both"/>
              <w:rPr>
                <w:rFonts w:ascii="Times New Roman" w:hAnsi="Times New Roman"/>
                <w:sz w:val="24"/>
                <w:szCs w:val="24"/>
                <w:highlight w:val="red"/>
                <w:lang w:eastAsia="it-IT"/>
              </w:rPr>
            </w:pPr>
            <w:r w:rsidRPr="007D596D">
              <w:rPr>
                <w:rFonts w:ascii="Times New Roman" w:hAnsi="Times New Roman"/>
                <w:sz w:val="24"/>
                <w:szCs w:val="24"/>
              </w:rPr>
              <w:t>Tutti gli altri suggerimenti saranno recepiti, insieme a due punti precedenti, in sede di rivis</w:t>
            </w:r>
            <w:r w:rsidR="00794DF8">
              <w:rPr>
                <w:rFonts w:ascii="Times New Roman" w:hAnsi="Times New Roman"/>
                <w:sz w:val="24"/>
                <w:szCs w:val="24"/>
              </w:rPr>
              <w:t>i</w:t>
            </w:r>
            <w:r w:rsidRPr="007D596D">
              <w:rPr>
                <w:rFonts w:ascii="Times New Roman" w:hAnsi="Times New Roman"/>
                <w:sz w:val="24"/>
                <w:szCs w:val="24"/>
              </w:rPr>
              <w:t>tazione del Sistema di Misurazione e</w:t>
            </w:r>
            <w:r w:rsidR="00794DF8">
              <w:rPr>
                <w:rFonts w:ascii="Times New Roman" w:hAnsi="Times New Roman"/>
                <w:sz w:val="24"/>
                <w:szCs w:val="24"/>
              </w:rPr>
              <w:t xml:space="preserve"> valutazione delle Performance, che, come specificato anche sopra, </w:t>
            </w:r>
            <w:r w:rsidR="00794DF8">
              <w:rPr>
                <w:rFonts w:ascii="Times New Roman" w:hAnsi="Times New Roman"/>
                <w:sz w:val="24"/>
                <w:szCs w:val="24"/>
                <w:lang w:eastAsia="it-IT"/>
              </w:rPr>
              <w:t>sarà sottoposto al parere vincolante dell’Organismo Indipendente di Valutazione</w:t>
            </w:r>
            <w:r w:rsidR="00AE576E">
              <w:rPr>
                <w:rFonts w:ascii="Times New Roman" w:hAnsi="Times New Roman"/>
                <w:sz w:val="24"/>
                <w:szCs w:val="24"/>
                <w:lang w:eastAsia="it-IT"/>
              </w:rPr>
              <w:t>.</w:t>
            </w:r>
          </w:p>
        </w:tc>
      </w:tr>
    </w:tbl>
    <w:p w:rsidR="0084563D" w:rsidRPr="00E63330" w:rsidRDefault="0084563D" w:rsidP="009E3787">
      <w:pPr>
        <w:pStyle w:val="Titolo"/>
        <w:jc w:val="both"/>
        <w:rPr>
          <w:b w:val="0"/>
          <w:sz w:val="24"/>
          <w:szCs w:val="24"/>
        </w:rPr>
      </w:pPr>
    </w:p>
    <w:p w:rsidR="00F923FF" w:rsidRPr="00E63330" w:rsidRDefault="0096592E" w:rsidP="008552AB">
      <w:pPr>
        <w:pStyle w:val="Titolo2"/>
      </w:pPr>
      <w:bookmarkStart w:id="14" w:name="_Toc1046933"/>
      <w:r w:rsidRPr="003C3367">
        <w:t>Recepimento dei suggerimenti forniti dall’OIV durante la riunione dell11 Gennaio 2019</w:t>
      </w:r>
      <w:bookmarkEnd w:id="14"/>
    </w:p>
    <w:p w:rsidR="00F923FF" w:rsidRPr="003C3367" w:rsidRDefault="00F923FF" w:rsidP="00F923FF">
      <w:pPr>
        <w:rPr>
          <w:rFonts w:ascii="Times New Roman" w:hAnsi="Times New Roman"/>
        </w:rPr>
      </w:pPr>
    </w:p>
    <w:p w:rsidR="00F923FF" w:rsidRPr="00E63330" w:rsidRDefault="0096592E" w:rsidP="0028440C">
      <w:pPr>
        <w:jc w:val="both"/>
        <w:rPr>
          <w:rFonts w:ascii="Times New Roman" w:hAnsi="Times New Roman"/>
          <w:sz w:val="24"/>
          <w:szCs w:val="24"/>
        </w:rPr>
      </w:pPr>
      <w:r>
        <w:rPr>
          <w:rFonts w:ascii="Times New Roman" w:hAnsi="Times New Roman"/>
          <w:sz w:val="24"/>
          <w:szCs w:val="24"/>
        </w:rPr>
        <w:t xml:space="preserve">Il Presente Piano, inoltre, ha recepito le osservazioni metodologiche fornite dall’OIV nell’incontro svoltosi con i Dipartimenti interessati dell’Amministrazione Regionale e con gli Enti Strumentali della Regione Calabria lo scorso 11 Gennaio 2019. </w:t>
      </w:r>
    </w:p>
    <w:p w:rsidR="0038027F" w:rsidRPr="00E63330" w:rsidRDefault="0096592E" w:rsidP="0028440C">
      <w:pPr>
        <w:jc w:val="both"/>
        <w:rPr>
          <w:rFonts w:ascii="Times New Roman" w:hAnsi="Times New Roman"/>
          <w:sz w:val="24"/>
          <w:szCs w:val="24"/>
        </w:rPr>
      </w:pPr>
      <w:r>
        <w:rPr>
          <w:rFonts w:ascii="Times New Roman" w:hAnsi="Times New Roman"/>
          <w:sz w:val="24"/>
          <w:szCs w:val="24"/>
        </w:rPr>
        <w:t xml:space="preserve">In particolare, premesso che l’Agenzia aveva già affrontato diverse criticità presentate nel corso dei precedenti anni in ossequio a suggerimenti dell’OIV e che alcune sono state descritte nel paragrafo precedente in quanto oggetto di osservazione nel 2018, tutte le direttive sono state analizzate, studiate e, dove necessario, integrate all’interno del Piano. </w:t>
      </w:r>
    </w:p>
    <w:p w:rsidR="002628A9" w:rsidRPr="00E63330" w:rsidRDefault="0096592E" w:rsidP="0028440C">
      <w:pPr>
        <w:jc w:val="both"/>
        <w:rPr>
          <w:rFonts w:ascii="Times New Roman" w:hAnsi="Times New Roman"/>
          <w:sz w:val="24"/>
          <w:szCs w:val="24"/>
        </w:rPr>
      </w:pPr>
      <w:r>
        <w:rPr>
          <w:rFonts w:ascii="Times New Roman" w:hAnsi="Times New Roman"/>
          <w:sz w:val="24"/>
          <w:szCs w:val="24"/>
        </w:rPr>
        <w:t xml:space="preserve">Su suggerimento dell’OIV, infine, già dallo scorso anno, l’ARCEA aveva adottato quali ulteriori modelli di riferimento le linee guida n. 1 di Giugno 2017 e 2 di Dicembre 2017 pubblicate nel corso del 2018 dal Dipartimento della Funzione Pubblica e riferite rispettivamente al Piano della Performance e al Sistema di Misurazione e Valutazione delle Performance. </w:t>
      </w:r>
    </w:p>
    <w:p w:rsidR="002628A9" w:rsidRPr="00E63330" w:rsidRDefault="0096592E" w:rsidP="00E87524">
      <w:pPr>
        <w:jc w:val="both"/>
        <w:rPr>
          <w:rFonts w:ascii="Times New Roman" w:hAnsi="Times New Roman"/>
          <w:sz w:val="24"/>
          <w:szCs w:val="24"/>
        </w:rPr>
      </w:pPr>
      <w:r>
        <w:rPr>
          <w:rFonts w:ascii="Times New Roman" w:hAnsi="Times New Roman"/>
          <w:sz w:val="24"/>
          <w:szCs w:val="24"/>
        </w:rPr>
        <w:lastRenderedPageBreak/>
        <w:t>A partire dall’anno in corso, grazie alla segnalazione dell’Organismo Indipendente di Valutazione all’interno della predetta riunione, l’Agenzia ha mutuat</w:t>
      </w:r>
      <w:r w:rsidR="00AE576E">
        <w:rPr>
          <w:rFonts w:ascii="Times New Roman" w:hAnsi="Times New Roman"/>
          <w:sz w:val="24"/>
          <w:szCs w:val="24"/>
        </w:rPr>
        <w:t>o</w:t>
      </w:r>
      <w:r>
        <w:rPr>
          <w:rFonts w:ascii="Times New Roman" w:hAnsi="Times New Roman"/>
          <w:sz w:val="24"/>
          <w:szCs w:val="24"/>
        </w:rPr>
        <w:t xml:space="preserve"> alcuni principi dal nuovo documento pubblicato dal Dipartimento della Funzione Pubblica denominato “</w:t>
      </w:r>
      <w:r w:rsidRPr="00AE576E">
        <w:rPr>
          <w:rFonts w:ascii="Times New Roman" w:hAnsi="Times New Roman"/>
          <w:i/>
          <w:sz w:val="24"/>
          <w:szCs w:val="24"/>
        </w:rPr>
        <w:t>Indicatori comuni per le</w:t>
      </w:r>
      <w:r w:rsidR="009B7CE6" w:rsidRPr="00AE576E">
        <w:rPr>
          <w:rFonts w:ascii="Times New Roman" w:hAnsi="Times New Roman"/>
          <w:i/>
          <w:sz w:val="24"/>
          <w:szCs w:val="24"/>
        </w:rPr>
        <w:t xml:space="preserve"> </w:t>
      </w:r>
      <w:r w:rsidRPr="00AE576E">
        <w:rPr>
          <w:rFonts w:ascii="Times New Roman" w:hAnsi="Times New Roman"/>
          <w:i/>
          <w:sz w:val="24"/>
          <w:szCs w:val="24"/>
        </w:rPr>
        <w:t>funzioni di supporto nelle</w:t>
      </w:r>
      <w:r w:rsidR="009B7CE6" w:rsidRPr="00AE576E">
        <w:rPr>
          <w:rFonts w:ascii="Times New Roman" w:hAnsi="Times New Roman"/>
          <w:i/>
          <w:sz w:val="24"/>
          <w:szCs w:val="24"/>
        </w:rPr>
        <w:t xml:space="preserve"> </w:t>
      </w:r>
      <w:r w:rsidRPr="00AE576E">
        <w:rPr>
          <w:rFonts w:ascii="Times New Roman" w:hAnsi="Times New Roman"/>
          <w:i/>
          <w:sz w:val="24"/>
          <w:szCs w:val="24"/>
        </w:rPr>
        <w:t>amministrazioni pubbliche</w:t>
      </w:r>
      <w:r>
        <w:rPr>
          <w:rFonts w:ascii="Times New Roman" w:hAnsi="Times New Roman"/>
          <w:sz w:val="24"/>
          <w:szCs w:val="24"/>
        </w:rPr>
        <w:t xml:space="preserve">”. </w:t>
      </w:r>
    </w:p>
    <w:p w:rsidR="00E87524" w:rsidRPr="00E63330" w:rsidRDefault="0096592E" w:rsidP="00E87524">
      <w:pPr>
        <w:jc w:val="both"/>
        <w:rPr>
          <w:rFonts w:ascii="Times New Roman" w:hAnsi="Times New Roman"/>
          <w:sz w:val="24"/>
          <w:szCs w:val="24"/>
        </w:rPr>
      </w:pPr>
      <w:r>
        <w:rPr>
          <w:rFonts w:ascii="Times New Roman" w:hAnsi="Times New Roman"/>
          <w:sz w:val="24"/>
          <w:szCs w:val="24"/>
        </w:rPr>
        <w:t xml:space="preserve">La circolare appena menzionata, in particolare, ha permesso di avvalorare la decisione dell’Agenzia di puntare sulle identità digitali e sui dati aperti quali strumenti per la misurazione dell’efficienza dei servizi informativi e della trasparenza dell’attività </w:t>
      </w:r>
      <w:r w:rsidR="009B7CE6">
        <w:rPr>
          <w:rFonts w:ascii="Times New Roman" w:hAnsi="Times New Roman"/>
          <w:sz w:val="24"/>
          <w:szCs w:val="24"/>
        </w:rPr>
        <w:t>amministrativa</w:t>
      </w:r>
      <w:r>
        <w:rPr>
          <w:rFonts w:ascii="Times New Roman" w:hAnsi="Times New Roman"/>
          <w:sz w:val="24"/>
          <w:szCs w:val="24"/>
        </w:rPr>
        <w:t xml:space="preserve">. </w:t>
      </w:r>
    </w:p>
    <w:p w:rsidR="00A03FB7" w:rsidRPr="00E63330" w:rsidRDefault="0096592E" w:rsidP="0028440C">
      <w:pPr>
        <w:jc w:val="both"/>
        <w:rPr>
          <w:rFonts w:ascii="Times New Roman" w:hAnsi="Times New Roman"/>
          <w:sz w:val="24"/>
          <w:szCs w:val="24"/>
        </w:rPr>
      </w:pPr>
      <w:r>
        <w:rPr>
          <w:rFonts w:ascii="Times New Roman" w:hAnsi="Times New Roman"/>
          <w:sz w:val="24"/>
          <w:szCs w:val="24"/>
        </w:rPr>
        <w:t xml:space="preserve">E’ importante, infine, rilevare come i documenti della Funzione Pubblica, pur se destinati prevalentemente alle pubbliche amministrazioni centrali, forniscono importanti suggerimenti attuativi per gli enti locali. </w:t>
      </w:r>
    </w:p>
    <w:p w:rsidR="0084563D" w:rsidRPr="00E63330" w:rsidRDefault="0096592E" w:rsidP="0084563D">
      <w:pPr>
        <w:pStyle w:val="Titolo2"/>
      </w:pPr>
      <w:bookmarkStart w:id="15" w:name="_Toc536444779"/>
      <w:bookmarkStart w:id="16" w:name="_Toc536444826"/>
      <w:bookmarkStart w:id="17" w:name="_Toc536623198"/>
      <w:bookmarkStart w:id="18" w:name="_Toc536626569"/>
      <w:bookmarkStart w:id="19" w:name="_Toc536634292"/>
      <w:bookmarkStart w:id="20" w:name="_Toc536636814"/>
      <w:bookmarkStart w:id="21" w:name="_Toc1046934"/>
      <w:bookmarkEnd w:id="15"/>
      <w:bookmarkEnd w:id="16"/>
      <w:bookmarkEnd w:id="17"/>
      <w:bookmarkEnd w:id="18"/>
      <w:bookmarkEnd w:id="19"/>
      <w:bookmarkEnd w:id="20"/>
      <w:r w:rsidRPr="003C3367">
        <w:t xml:space="preserve">Rielaborazione grafica del Piano in favore degli </w:t>
      </w:r>
      <w:proofErr w:type="spellStart"/>
      <w:r w:rsidRPr="003C3367">
        <w:t>stakeholders</w:t>
      </w:r>
      <w:bookmarkEnd w:id="21"/>
      <w:proofErr w:type="spellEnd"/>
    </w:p>
    <w:p w:rsidR="0052004D" w:rsidRPr="00E63330" w:rsidRDefault="0052004D" w:rsidP="0084563D">
      <w:pPr>
        <w:autoSpaceDE w:val="0"/>
        <w:autoSpaceDN w:val="0"/>
        <w:adjustRightInd w:val="0"/>
        <w:spacing w:after="0"/>
        <w:jc w:val="both"/>
        <w:rPr>
          <w:rFonts w:ascii="Times New Roman" w:hAnsi="Times New Roman"/>
          <w:sz w:val="24"/>
        </w:rPr>
      </w:pPr>
    </w:p>
    <w:p w:rsidR="0084563D" w:rsidRPr="00E63330" w:rsidRDefault="0096592E" w:rsidP="0084563D">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A partire dal 2017, nell’ottica di un continuo miglioramento del Piano, condividendo un suggerimento dell’OIV, sono state previste rielaborazioni dei contenuti, presentate sotto forma di allegati, da un punto di vista grafico ed espositivo, che permettono </w:t>
      </w:r>
      <w:r w:rsidRPr="00602596">
        <w:rPr>
          <w:rFonts w:ascii="Times New Roman" w:hAnsi="Times New Roman"/>
          <w:sz w:val="24"/>
        </w:rPr>
        <w:t xml:space="preserve">di adottare modalità e tecniche di rappresentazione dei dati specializzati per tipologie di portatori di interessi (cittadini e associazioni, imprese, enti locali, Istituzioni di carattere nazionale ed europeo quali AGID, Garante Privacy, </w:t>
      </w:r>
      <w:r w:rsidR="0074533F">
        <w:rPr>
          <w:rFonts w:ascii="Times New Roman" w:hAnsi="Times New Roman"/>
          <w:sz w:val="24"/>
        </w:rPr>
        <w:t>MIPAAFT</w:t>
      </w:r>
      <w:r w:rsidRPr="00602596">
        <w:rPr>
          <w:rFonts w:ascii="Times New Roman" w:hAnsi="Times New Roman"/>
          <w:sz w:val="24"/>
        </w:rPr>
        <w:t xml:space="preserve">, Commissione Europea, Forze dell’Ordine, Corte dei conti, </w:t>
      </w:r>
      <w:proofErr w:type="spellStart"/>
      <w:r w:rsidRPr="00602596">
        <w:rPr>
          <w:rFonts w:ascii="Times New Roman" w:hAnsi="Times New Roman"/>
          <w:sz w:val="24"/>
        </w:rPr>
        <w:t>etc</w:t>
      </w:r>
      <w:proofErr w:type="spellEnd"/>
      <w:r w:rsidRPr="00602596">
        <w:rPr>
          <w:rFonts w:ascii="Times New Roman" w:hAnsi="Times New Roman"/>
          <w:sz w:val="24"/>
        </w:rPr>
        <w:t xml:space="preserve">). In particolare, al presente Piano sono allegati due documenti che ripropongono i contenuti inquadrandoli da prospettive diverse: </w:t>
      </w:r>
    </w:p>
    <w:p w:rsidR="0084563D" w:rsidRPr="00E63330" w:rsidRDefault="0096592E" w:rsidP="00E62146">
      <w:pPr>
        <w:numPr>
          <w:ilvl w:val="1"/>
          <w:numId w:val="55"/>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Il primo è un documento che utilizza la medesima tecnica descrittiva del Piano,</w:t>
      </w:r>
      <w:r w:rsidRPr="00602596">
        <w:rPr>
          <w:rFonts w:ascii="Times New Roman" w:hAnsi="Times New Roman"/>
          <w:sz w:val="24"/>
        </w:rPr>
        <w:t xml:space="preserv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rsidR="0052004D" w:rsidRPr="00E63330" w:rsidRDefault="0096592E" w:rsidP="00E62146">
      <w:pPr>
        <w:numPr>
          <w:ilvl w:val="1"/>
          <w:numId w:val="55"/>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Il secondo è, invece, un documento grafico, pensato come una presentazione “</w:t>
      </w:r>
      <w:proofErr w:type="spellStart"/>
      <w:r w:rsidRPr="006C5DF3">
        <w:rPr>
          <w:rFonts w:ascii="Times New Roman" w:hAnsi="Times New Roman"/>
          <w:sz w:val="24"/>
        </w:rPr>
        <w:t>Power</w:t>
      </w:r>
      <w:proofErr w:type="spellEnd"/>
      <w:r w:rsidRPr="006C5DF3">
        <w:rPr>
          <w:rFonts w:ascii="Times New Roman" w:hAnsi="Times New Roman"/>
          <w:sz w:val="24"/>
        </w:rPr>
        <w:t xml:space="preserve"> Point”, in cui sono condensati </w:t>
      </w:r>
      <w:r w:rsidRPr="00602596">
        <w:rPr>
          <w:rFonts w:ascii="Times New Roman" w:hAnsi="Times New Roman"/>
          <w:sz w:val="24"/>
        </w:rPr>
        <w:t xml:space="preserve">nella forma grafica e fortemente intuitiva delle “slide”, i punti essenziali del Piano e sono proposti focus tematici su argomenti di interesse di diverse categorie di stakeholder. In particolare, rispetto allo scorso anno, sono stati selezioni i seguenti focus tematici, ampliati in numero e per platea di </w:t>
      </w:r>
      <w:proofErr w:type="spellStart"/>
      <w:r w:rsidRPr="00602596">
        <w:rPr>
          <w:rFonts w:ascii="Times New Roman" w:hAnsi="Times New Roman"/>
          <w:sz w:val="24"/>
        </w:rPr>
        <w:t>stakeholders</w:t>
      </w:r>
      <w:proofErr w:type="spellEnd"/>
      <w:r w:rsidRPr="00602596">
        <w:rPr>
          <w:rFonts w:ascii="Times New Roman" w:hAnsi="Times New Roman"/>
          <w:sz w:val="24"/>
        </w:rPr>
        <w:t xml:space="preserve"> potenzialmente raggiunti:</w:t>
      </w:r>
    </w:p>
    <w:p w:rsidR="0052004D" w:rsidRPr="00E63330" w:rsidRDefault="0052004D" w:rsidP="0052004D">
      <w:pPr>
        <w:autoSpaceDE w:val="0"/>
        <w:autoSpaceDN w:val="0"/>
        <w:adjustRightInd w:val="0"/>
        <w:spacing w:after="0"/>
        <w:ind w:left="1440"/>
        <w:jc w:val="both"/>
        <w:rPr>
          <w:rFonts w:ascii="Times New Roman" w:hAnsi="Times New Roman"/>
          <w:sz w:val="24"/>
        </w:rPr>
      </w:pPr>
    </w:p>
    <w:tbl>
      <w:tblPr>
        <w:tblW w:w="5000" w:type="pct"/>
        <w:jc w:val="center"/>
        <w:tblBorders>
          <w:top w:val="single" w:sz="8" w:space="0" w:color="4F81BD"/>
          <w:bottom w:val="single" w:sz="8" w:space="0" w:color="4F81BD"/>
        </w:tblBorders>
        <w:tblLook w:val="04A0" w:firstRow="1" w:lastRow="0" w:firstColumn="1" w:lastColumn="0" w:noHBand="0" w:noVBand="1"/>
      </w:tblPr>
      <w:tblGrid>
        <w:gridCol w:w="4264"/>
        <w:gridCol w:w="5448"/>
      </w:tblGrid>
      <w:tr w:rsidR="00A409F1" w:rsidRPr="00E63330" w:rsidTr="003C3367">
        <w:trPr>
          <w:jc w:val="center"/>
        </w:trPr>
        <w:tc>
          <w:tcPr>
            <w:tcW w:w="2195" w:type="pct"/>
            <w:tcBorders>
              <w:top w:val="single" w:sz="8" w:space="0" w:color="4F81BD"/>
              <w:left w:val="nil"/>
              <w:bottom w:val="single" w:sz="8" w:space="0" w:color="4F81BD"/>
              <w:right w:val="nil"/>
            </w:tcBorders>
            <w:shd w:val="clear" w:color="auto" w:fill="auto"/>
          </w:tcPr>
          <w:p w:rsidR="00A409F1" w:rsidRPr="00E63330" w:rsidRDefault="0096592E" w:rsidP="008035CD">
            <w:pPr>
              <w:autoSpaceDE w:val="0"/>
              <w:autoSpaceDN w:val="0"/>
              <w:adjustRightInd w:val="0"/>
              <w:spacing w:after="0"/>
              <w:jc w:val="center"/>
              <w:rPr>
                <w:rFonts w:ascii="Times New Roman" w:hAnsi="Times New Roman"/>
                <w:b/>
                <w:bCs/>
                <w:color w:val="365F91"/>
                <w:sz w:val="24"/>
              </w:rPr>
            </w:pPr>
            <w:r w:rsidRPr="006C5DF3">
              <w:rPr>
                <w:rFonts w:ascii="Times New Roman" w:hAnsi="Times New Roman"/>
                <w:b/>
                <w:bCs/>
                <w:color w:val="365F91"/>
                <w:sz w:val="24"/>
              </w:rPr>
              <w:t>Focus Tematico</w:t>
            </w:r>
          </w:p>
        </w:tc>
        <w:tc>
          <w:tcPr>
            <w:tcW w:w="2805" w:type="pct"/>
            <w:tcBorders>
              <w:top w:val="single" w:sz="8" w:space="0" w:color="4F81BD"/>
              <w:left w:val="nil"/>
              <w:bottom w:val="single" w:sz="8" w:space="0" w:color="4F81BD"/>
              <w:right w:val="nil"/>
            </w:tcBorders>
            <w:shd w:val="clear" w:color="auto" w:fill="auto"/>
          </w:tcPr>
          <w:p w:rsidR="00A409F1" w:rsidRPr="00E63330" w:rsidRDefault="0096592E" w:rsidP="008035CD">
            <w:pPr>
              <w:autoSpaceDE w:val="0"/>
              <w:autoSpaceDN w:val="0"/>
              <w:adjustRightInd w:val="0"/>
              <w:spacing w:after="0"/>
              <w:jc w:val="center"/>
              <w:rPr>
                <w:rFonts w:ascii="Times New Roman" w:hAnsi="Times New Roman"/>
                <w:b/>
                <w:bCs/>
                <w:color w:val="365F91"/>
                <w:sz w:val="24"/>
              </w:rPr>
            </w:pPr>
            <w:r w:rsidRPr="006C5DF3">
              <w:rPr>
                <w:rFonts w:ascii="Times New Roman" w:hAnsi="Times New Roman"/>
                <w:b/>
                <w:bCs/>
                <w:color w:val="365F91"/>
                <w:sz w:val="24"/>
              </w:rPr>
              <w:t xml:space="preserve">Principali </w:t>
            </w:r>
            <w:proofErr w:type="spellStart"/>
            <w:r w:rsidRPr="006C5DF3">
              <w:rPr>
                <w:rFonts w:ascii="Times New Roman" w:hAnsi="Times New Roman"/>
                <w:b/>
                <w:bCs/>
                <w:color w:val="365F91"/>
                <w:sz w:val="24"/>
              </w:rPr>
              <w:t>stakeholders</w:t>
            </w:r>
            <w:proofErr w:type="spellEnd"/>
            <w:r w:rsidRPr="006C5DF3">
              <w:rPr>
                <w:rFonts w:ascii="Times New Roman" w:hAnsi="Times New Roman"/>
                <w:b/>
                <w:bCs/>
                <w:color w:val="365F91"/>
                <w:sz w:val="24"/>
              </w:rPr>
              <w:t xml:space="preserve"> di riferimento</w:t>
            </w:r>
          </w:p>
        </w:tc>
      </w:tr>
      <w:tr w:rsidR="00A409F1" w:rsidRPr="00E63330" w:rsidTr="003C3367">
        <w:trPr>
          <w:jc w:val="center"/>
        </w:trPr>
        <w:tc>
          <w:tcPr>
            <w:tcW w:w="2195" w:type="pct"/>
            <w:tcBorders>
              <w:left w:val="nil"/>
              <w:right w:val="nil"/>
            </w:tcBorders>
            <w:shd w:val="clear" w:color="auto" w:fill="D3DFEE"/>
          </w:tcPr>
          <w:p w:rsidR="00A409F1" w:rsidRPr="00E63330" w:rsidRDefault="0096592E" w:rsidP="007971CF">
            <w:pPr>
              <w:autoSpaceDE w:val="0"/>
              <w:autoSpaceDN w:val="0"/>
              <w:adjustRightInd w:val="0"/>
              <w:spacing w:after="0"/>
              <w:jc w:val="both"/>
              <w:rPr>
                <w:rFonts w:ascii="Times New Roman" w:hAnsi="Times New Roman"/>
                <w:b/>
                <w:bCs/>
                <w:color w:val="365F91"/>
                <w:sz w:val="24"/>
              </w:rPr>
            </w:pPr>
            <w:bookmarkStart w:id="22" w:name="_Hlk505505828"/>
            <w:r w:rsidRPr="006C5DF3">
              <w:rPr>
                <w:rFonts w:ascii="Times New Roman" w:hAnsi="Times New Roman"/>
                <w:b/>
                <w:bCs/>
                <w:color w:val="365F91"/>
                <w:sz w:val="24"/>
              </w:rPr>
              <w:t>I dettagli dei pagamenti effettuati</w:t>
            </w:r>
          </w:p>
        </w:tc>
        <w:tc>
          <w:tcPr>
            <w:tcW w:w="2805" w:type="pct"/>
            <w:tcBorders>
              <w:left w:val="nil"/>
              <w:right w:val="nil"/>
            </w:tcBorders>
            <w:shd w:val="clear" w:color="auto" w:fill="D3DFEE"/>
          </w:tcPr>
          <w:p w:rsidR="00A409F1" w:rsidRPr="00E63330" w:rsidRDefault="0096592E" w:rsidP="007971CF">
            <w:pPr>
              <w:autoSpaceDE w:val="0"/>
              <w:autoSpaceDN w:val="0"/>
              <w:adjustRightInd w:val="0"/>
              <w:spacing w:after="0"/>
              <w:jc w:val="both"/>
              <w:rPr>
                <w:rFonts w:ascii="Times New Roman" w:hAnsi="Times New Roman"/>
                <w:color w:val="365F91"/>
                <w:sz w:val="24"/>
              </w:rPr>
            </w:pPr>
            <w:r w:rsidRPr="006C5DF3">
              <w:rPr>
                <w:rFonts w:ascii="Times New Roman" w:hAnsi="Times New Roman"/>
                <w:color w:val="365F91"/>
                <w:sz w:val="24"/>
              </w:rPr>
              <w:t>CAA e beneficiari</w:t>
            </w:r>
          </w:p>
        </w:tc>
      </w:tr>
      <w:tr w:rsidR="00A409F1" w:rsidRPr="00E63330" w:rsidTr="003C3367">
        <w:trPr>
          <w:jc w:val="center"/>
        </w:trPr>
        <w:tc>
          <w:tcPr>
            <w:tcW w:w="2195" w:type="pct"/>
            <w:shd w:val="clear" w:color="auto" w:fill="auto"/>
          </w:tcPr>
          <w:p w:rsidR="00A409F1" w:rsidRPr="00E63330" w:rsidRDefault="0096592E" w:rsidP="007971CF">
            <w:pPr>
              <w:autoSpaceDE w:val="0"/>
              <w:autoSpaceDN w:val="0"/>
              <w:adjustRightInd w:val="0"/>
              <w:spacing w:after="0"/>
              <w:jc w:val="both"/>
              <w:rPr>
                <w:rFonts w:ascii="Times New Roman" w:hAnsi="Times New Roman"/>
                <w:b/>
                <w:bCs/>
                <w:color w:val="365F91"/>
                <w:sz w:val="24"/>
              </w:rPr>
            </w:pPr>
            <w:bookmarkStart w:id="23" w:name="_Hlk505505823"/>
            <w:bookmarkEnd w:id="22"/>
            <w:r w:rsidRPr="006C5DF3">
              <w:rPr>
                <w:rFonts w:ascii="Times New Roman" w:hAnsi="Times New Roman"/>
                <w:b/>
                <w:bCs/>
                <w:color w:val="365F91"/>
                <w:sz w:val="24"/>
              </w:rPr>
              <w:t>I dati relativi alla Sicurezza delle Informazioni</w:t>
            </w:r>
          </w:p>
        </w:tc>
        <w:tc>
          <w:tcPr>
            <w:tcW w:w="2805" w:type="pct"/>
            <w:shd w:val="clear" w:color="auto" w:fill="auto"/>
          </w:tcPr>
          <w:p w:rsidR="00A409F1" w:rsidRPr="00E63330" w:rsidRDefault="0096592E" w:rsidP="007971CF">
            <w:pPr>
              <w:autoSpaceDE w:val="0"/>
              <w:autoSpaceDN w:val="0"/>
              <w:adjustRightInd w:val="0"/>
              <w:spacing w:after="0"/>
              <w:jc w:val="both"/>
              <w:rPr>
                <w:rFonts w:ascii="Times New Roman" w:hAnsi="Times New Roman"/>
                <w:color w:val="365F91"/>
                <w:sz w:val="24"/>
              </w:rPr>
            </w:pPr>
            <w:r w:rsidRPr="006C5DF3">
              <w:rPr>
                <w:rFonts w:ascii="Times New Roman" w:hAnsi="Times New Roman"/>
                <w:color w:val="365F91"/>
                <w:sz w:val="24"/>
              </w:rPr>
              <w:t>istituzioni poste a presidio del processo di informatizzazione della pubblicazione amministrazione, come l’Agenzia per l’Italia Digitale o Garante per la privacy</w:t>
            </w:r>
          </w:p>
        </w:tc>
      </w:tr>
      <w:bookmarkEnd w:id="23"/>
      <w:tr w:rsidR="00A409F1" w:rsidRPr="00E63330" w:rsidTr="003C3367">
        <w:trPr>
          <w:jc w:val="center"/>
        </w:trPr>
        <w:tc>
          <w:tcPr>
            <w:tcW w:w="2195" w:type="pct"/>
            <w:tcBorders>
              <w:left w:val="nil"/>
              <w:right w:val="nil"/>
            </w:tcBorders>
            <w:shd w:val="clear" w:color="auto" w:fill="D3DFEE"/>
          </w:tcPr>
          <w:p w:rsidR="00A409F1" w:rsidRPr="00E63330" w:rsidRDefault="0096592E" w:rsidP="007971CF">
            <w:pPr>
              <w:autoSpaceDE w:val="0"/>
              <w:autoSpaceDN w:val="0"/>
              <w:adjustRightInd w:val="0"/>
              <w:spacing w:after="0"/>
              <w:jc w:val="both"/>
              <w:rPr>
                <w:rFonts w:ascii="Times New Roman" w:hAnsi="Times New Roman"/>
                <w:b/>
                <w:bCs/>
                <w:color w:val="365F91"/>
                <w:sz w:val="24"/>
              </w:rPr>
            </w:pPr>
            <w:r w:rsidRPr="006C5DF3">
              <w:rPr>
                <w:rFonts w:ascii="Times New Roman" w:hAnsi="Times New Roman"/>
                <w:b/>
                <w:bCs/>
                <w:color w:val="365F91"/>
                <w:sz w:val="24"/>
              </w:rPr>
              <w:t>Il processo sotteso alle erogazioni dei fondi FEASR e FEAGA ed al sistema dei controlli</w:t>
            </w:r>
          </w:p>
        </w:tc>
        <w:tc>
          <w:tcPr>
            <w:tcW w:w="2805" w:type="pct"/>
            <w:tcBorders>
              <w:left w:val="nil"/>
              <w:right w:val="nil"/>
            </w:tcBorders>
            <w:shd w:val="clear" w:color="auto" w:fill="D3DFEE"/>
          </w:tcPr>
          <w:p w:rsidR="00A409F1" w:rsidRPr="00E63330" w:rsidRDefault="0096592E" w:rsidP="007971CF">
            <w:pPr>
              <w:autoSpaceDE w:val="0"/>
              <w:autoSpaceDN w:val="0"/>
              <w:adjustRightInd w:val="0"/>
              <w:spacing w:after="0"/>
              <w:jc w:val="both"/>
              <w:rPr>
                <w:rFonts w:ascii="Times New Roman" w:hAnsi="Times New Roman"/>
                <w:color w:val="365F91"/>
                <w:sz w:val="24"/>
              </w:rPr>
            </w:pPr>
            <w:r w:rsidRPr="006C5DF3">
              <w:rPr>
                <w:rFonts w:ascii="Times New Roman" w:hAnsi="Times New Roman"/>
                <w:color w:val="365F91"/>
                <w:sz w:val="24"/>
              </w:rPr>
              <w:t>Regione Calabria, Ministero delle Politiche Agricole, la Commissione Europea e l’Organismo di Certificazione</w:t>
            </w:r>
          </w:p>
        </w:tc>
      </w:tr>
      <w:tr w:rsidR="00A409F1" w:rsidRPr="00E63330" w:rsidTr="003C3367">
        <w:trPr>
          <w:jc w:val="center"/>
        </w:trPr>
        <w:tc>
          <w:tcPr>
            <w:tcW w:w="2195" w:type="pct"/>
            <w:shd w:val="clear" w:color="auto" w:fill="auto"/>
          </w:tcPr>
          <w:p w:rsidR="00A409F1" w:rsidRPr="00E63330" w:rsidRDefault="0096592E" w:rsidP="007971CF">
            <w:pPr>
              <w:autoSpaceDE w:val="0"/>
              <w:autoSpaceDN w:val="0"/>
              <w:adjustRightInd w:val="0"/>
              <w:spacing w:after="0"/>
              <w:jc w:val="both"/>
              <w:rPr>
                <w:rFonts w:ascii="Times New Roman" w:hAnsi="Times New Roman"/>
                <w:b/>
                <w:bCs/>
                <w:color w:val="365F91"/>
                <w:sz w:val="24"/>
              </w:rPr>
            </w:pPr>
            <w:r w:rsidRPr="006C5DF3">
              <w:rPr>
                <w:rFonts w:ascii="Times New Roman" w:hAnsi="Times New Roman"/>
                <w:b/>
                <w:bCs/>
                <w:color w:val="365F91"/>
                <w:sz w:val="24"/>
              </w:rPr>
              <w:t>La lotta antifrode dell’ARCEA</w:t>
            </w:r>
          </w:p>
        </w:tc>
        <w:tc>
          <w:tcPr>
            <w:tcW w:w="2805" w:type="pct"/>
            <w:shd w:val="clear" w:color="auto" w:fill="auto"/>
          </w:tcPr>
          <w:p w:rsidR="00A409F1" w:rsidRPr="00E63330" w:rsidRDefault="0096592E" w:rsidP="007971CF">
            <w:pPr>
              <w:autoSpaceDE w:val="0"/>
              <w:autoSpaceDN w:val="0"/>
              <w:adjustRightInd w:val="0"/>
              <w:spacing w:after="0"/>
              <w:jc w:val="both"/>
              <w:rPr>
                <w:rFonts w:ascii="Times New Roman" w:hAnsi="Times New Roman"/>
                <w:color w:val="365F91"/>
                <w:sz w:val="24"/>
              </w:rPr>
            </w:pPr>
            <w:r w:rsidRPr="006C5DF3">
              <w:rPr>
                <w:rFonts w:ascii="Times New Roman" w:hAnsi="Times New Roman"/>
                <w:color w:val="365F91"/>
                <w:sz w:val="24"/>
              </w:rPr>
              <w:t>Corte dei Conti, Corpi di Polizia, Prefetture e Procure dello Stato</w:t>
            </w:r>
          </w:p>
        </w:tc>
      </w:tr>
      <w:tr w:rsidR="00BD74CE" w:rsidRPr="00E63330" w:rsidTr="00A409F1">
        <w:trPr>
          <w:jc w:val="center"/>
        </w:trPr>
        <w:tc>
          <w:tcPr>
            <w:tcW w:w="2195" w:type="pct"/>
            <w:tcBorders>
              <w:left w:val="nil"/>
              <w:right w:val="nil"/>
            </w:tcBorders>
            <w:shd w:val="clear" w:color="auto" w:fill="D3DFEE"/>
          </w:tcPr>
          <w:p w:rsidR="00BD74CE" w:rsidRPr="00E63330" w:rsidRDefault="0096592E" w:rsidP="007971CF">
            <w:pPr>
              <w:pStyle w:val="NormaleWeb"/>
              <w:spacing w:before="0" w:beforeAutospacing="0" w:after="0" w:afterAutospacing="0" w:line="276" w:lineRule="auto"/>
              <w:jc w:val="both"/>
              <w:rPr>
                <w:rFonts w:eastAsia="Calibri"/>
                <w:b/>
                <w:bCs/>
                <w:color w:val="365F91"/>
                <w:szCs w:val="22"/>
                <w:lang w:eastAsia="en-US"/>
              </w:rPr>
            </w:pPr>
            <w:r w:rsidRPr="003C3367">
              <w:rPr>
                <w:rFonts w:eastAsia="Calibri"/>
                <w:b/>
                <w:bCs/>
                <w:color w:val="365F91"/>
                <w:szCs w:val="22"/>
                <w:lang w:eastAsia="en-US"/>
              </w:rPr>
              <w:lastRenderedPageBreak/>
              <w:t>Contabilità Analitica</w:t>
            </w:r>
          </w:p>
        </w:tc>
        <w:tc>
          <w:tcPr>
            <w:tcW w:w="2805" w:type="pct"/>
            <w:tcBorders>
              <w:left w:val="nil"/>
              <w:right w:val="nil"/>
            </w:tcBorders>
            <w:shd w:val="clear" w:color="auto" w:fill="D3DFEE"/>
          </w:tcPr>
          <w:p w:rsidR="00BD74CE" w:rsidRPr="00E63330" w:rsidRDefault="0096592E" w:rsidP="007971CF">
            <w:pPr>
              <w:pStyle w:val="NormaleWeb"/>
              <w:spacing w:before="0" w:beforeAutospacing="0" w:after="0" w:afterAutospacing="0" w:line="276" w:lineRule="auto"/>
              <w:jc w:val="both"/>
              <w:rPr>
                <w:rFonts w:eastAsia="Calibri"/>
                <w:color w:val="365F91"/>
                <w:szCs w:val="22"/>
                <w:lang w:eastAsia="en-US"/>
              </w:rPr>
            </w:pPr>
            <w:r w:rsidRPr="003C3367">
              <w:rPr>
                <w:color w:val="365F91"/>
              </w:rPr>
              <w:t xml:space="preserve">Corte dei Conti, Organismo di Vigilanza, Giunta Regionale, Consiglio Regionale della Calabria ed in particolare la Commissione Bilancio. </w:t>
            </w:r>
          </w:p>
        </w:tc>
      </w:tr>
      <w:tr w:rsidR="00033283" w:rsidRPr="00E63330" w:rsidTr="00A409F1">
        <w:trPr>
          <w:jc w:val="center"/>
        </w:trPr>
        <w:tc>
          <w:tcPr>
            <w:tcW w:w="2195" w:type="pct"/>
            <w:tcBorders>
              <w:left w:val="nil"/>
              <w:right w:val="nil"/>
            </w:tcBorders>
            <w:shd w:val="clear" w:color="auto" w:fill="D3DFEE"/>
          </w:tcPr>
          <w:p w:rsidR="00033283" w:rsidRPr="0096592E" w:rsidRDefault="00033283" w:rsidP="00033283">
            <w:pPr>
              <w:pStyle w:val="NormaleWeb"/>
              <w:spacing w:before="0" w:beforeAutospacing="0" w:after="0" w:afterAutospacing="0" w:line="276" w:lineRule="auto"/>
              <w:jc w:val="both"/>
              <w:rPr>
                <w:rFonts w:eastAsia="Calibri"/>
                <w:b/>
                <w:bCs/>
                <w:color w:val="365F91"/>
                <w:szCs w:val="22"/>
                <w:lang w:eastAsia="en-US"/>
              </w:rPr>
            </w:pPr>
            <w:r>
              <w:rPr>
                <w:rFonts w:eastAsia="Calibri"/>
                <w:b/>
                <w:bCs/>
                <w:color w:val="365F91"/>
                <w:szCs w:val="22"/>
                <w:lang w:eastAsia="en-US"/>
              </w:rPr>
              <w:t>Trend degli indicatori di salute finanziaria dell’Ente</w:t>
            </w:r>
          </w:p>
        </w:tc>
        <w:tc>
          <w:tcPr>
            <w:tcW w:w="2805" w:type="pct"/>
            <w:tcBorders>
              <w:left w:val="nil"/>
              <w:right w:val="nil"/>
            </w:tcBorders>
            <w:shd w:val="clear" w:color="auto" w:fill="D3DFEE"/>
          </w:tcPr>
          <w:p w:rsidR="00033283" w:rsidRPr="0096592E" w:rsidRDefault="00033283" w:rsidP="007971CF">
            <w:pPr>
              <w:pStyle w:val="NormaleWeb"/>
              <w:spacing w:before="0" w:beforeAutospacing="0" w:after="0" w:afterAutospacing="0" w:line="276" w:lineRule="auto"/>
              <w:jc w:val="both"/>
              <w:rPr>
                <w:color w:val="365F91"/>
              </w:rPr>
            </w:pPr>
            <w:r w:rsidRPr="003C3367">
              <w:rPr>
                <w:color w:val="365F91"/>
              </w:rPr>
              <w:t>Corte dei Conti, Organismo di Vigilanza, Giunta Regionale, Consiglio Regionale della Calabria ed in particolare la Commissione Bilancio</w:t>
            </w:r>
          </w:p>
        </w:tc>
      </w:tr>
    </w:tbl>
    <w:p w:rsidR="0052004D" w:rsidRPr="00E63330" w:rsidRDefault="0052004D" w:rsidP="0052004D">
      <w:pPr>
        <w:autoSpaceDE w:val="0"/>
        <w:autoSpaceDN w:val="0"/>
        <w:adjustRightInd w:val="0"/>
        <w:spacing w:after="0"/>
        <w:ind w:left="1440"/>
        <w:jc w:val="both"/>
        <w:rPr>
          <w:rFonts w:ascii="Times New Roman" w:hAnsi="Times New Roman"/>
          <w:sz w:val="24"/>
        </w:rPr>
      </w:pPr>
    </w:p>
    <w:p w:rsidR="008C5DBF" w:rsidRPr="00E63330" w:rsidRDefault="008C5DBF" w:rsidP="009E3787">
      <w:pPr>
        <w:pStyle w:val="Titolo"/>
        <w:jc w:val="both"/>
        <w:rPr>
          <w:b w:val="0"/>
          <w:sz w:val="24"/>
          <w:szCs w:val="24"/>
        </w:rPr>
      </w:pPr>
    </w:p>
    <w:p w:rsidR="001378E6" w:rsidRPr="003C3367" w:rsidRDefault="001378E6" w:rsidP="003C3367">
      <w:pPr>
        <w:pStyle w:val="Nessunaspaziatura"/>
        <w:spacing w:line="276" w:lineRule="auto"/>
        <w:jc w:val="both"/>
        <w:rPr>
          <w:b/>
          <w:sz w:val="24"/>
          <w:szCs w:val="24"/>
        </w:rPr>
      </w:pPr>
    </w:p>
    <w:p w:rsidR="000C6447" w:rsidRPr="00E63330" w:rsidRDefault="0096592E" w:rsidP="0027556C">
      <w:pPr>
        <w:pStyle w:val="Titolo"/>
      </w:pPr>
      <w:r w:rsidRPr="003C3367">
        <w:br w:type="page"/>
      </w:r>
    </w:p>
    <w:p w:rsidR="00CE30B9" w:rsidRPr="00E63330" w:rsidRDefault="00CE30B9" w:rsidP="0027556C">
      <w:pPr>
        <w:pStyle w:val="Titolo"/>
      </w:pPr>
    </w:p>
    <w:p w:rsidR="00CE30B9" w:rsidRPr="00E63330" w:rsidRDefault="00CE30B9" w:rsidP="0027556C">
      <w:pPr>
        <w:pStyle w:val="Titolo"/>
      </w:pPr>
    </w:p>
    <w:p w:rsidR="00CE30B9" w:rsidRPr="00E63330" w:rsidRDefault="00CE30B9" w:rsidP="0027556C">
      <w:pPr>
        <w:pStyle w:val="Titolo"/>
      </w:pPr>
    </w:p>
    <w:p w:rsidR="00CE30B9" w:rsidRPr="00E63330" w:rsidRDefault="00CE30B9" w:rsidP="0027556C">
      <w:pPr>
        <w:pStyle w:val="Titolo"/>
      </w:pPr>
    </w:p>
    <w:p w:rsidR="00CE30B9" w:rsidRPr="00E63330" w:rsidRDefault="00CE30B9" w:rsidP="0027556C">
      <w:pPr>
        <w:pStyle w:val="Titolo"/>
      </w:pPr>
    </w:p>
    <w:p w:rsidR="00CE30B9" w:rsidRPr="00E63330" w:rsidRDefault="00CE30B9" w:rsidP="0027556C">
      <w:pPr>
        <w:pStyle w:val="Titolo"/>
      </w:pPr>
    </w:p>
    <w:p w:rsidR="006B3694" w:rsidRPr="00E63330" w:rsidRDefault="006B3694" w:rsidP="0027556C">
      <w:pPr>
        <w:pStyle w:val="Titolo"/>
      </w:pPr>
    </w:p>
    <w:p w:rsidR="00561B6E" w:rsidRPr="00E63330" w:rsidRDefault="0096592E" w:rsidP="0027556C">
      <w:pPr>
        <w:pStyle w:val="Titolo"/>
      </w:pPr>
      <w:bookmarkStart w:id="24" w:name="_Toc1046935"/>
      <w:r w:rsidRPr="003C3367">
        <w:t>Parte I- Sintesi delle informazioni di interesse</w:t>
      </w:r>
      <w:bookmarkEnd w:id="24"/>
    </w:p>
    <w:p w:rsidR="00561B6E" w:rsidRPr="00E63330" w:rsidRDefault="0096592E" w:rsidP="002F58B2">
      <w:pPr>
        <w:pStyle w:val="Titolo1"/>
        <w:numPr>
          <w:ilvl w:val="0"/>
          <w:numId w:val="38"/>
        </w:numPr>
      </w:pPr>
      <w:r w:rsidRPr="003C3367">
        <w:rPr>
          <w:u w:val="single"/>
        </w:rPr>
        <w:br w:type="page"/>
      </w:r>
      <w:bookmarkStart w:id="25" w:name="_Toc1046936"/>
      <w:r w:rsidRPr="003C3367">
        <w:lastRenderedPageBreak/>
        <w:t>Premessa: Il contesto di riferimento</w:t>
      </w:r>
      <w:bookmarkEnd w:id="25"/>
    </w:p>
    <w:p w:rsidR="00456EEA" w:rsidRPr="003C3367" w:rsidRDefault="00456EEA" w:rsidP="00456EEA">
      <w:pPr>
        <w:rPr>
          <w:rFonts w:ascii="Times New Roman" w:hAnsi="Times New Roman"/>
          <w:sz w:val="8"/>
        </w:rPr>
      </w:pPr>
    </w:p>
    <w:p w:rsidR="00A23A97" w:rsidRPr="00E63330" w:rsidRDefault="0096592E" w:rsidP="00A23A97">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Il contesto di riferimento per la predisposizione del Piano della Performance 2019/202</w:t>
      </w:r>
      <w:r w:rsidR="005B0BF6">
        <w:rPr>
          <w:rFonts w:ascii="Times New Roman" w:hAnsi="Times New Roman"/>
          <w:bCs/>
          <w:sz w:val="24"/>
          <w:szCs w:val="24"/>
        </w:rPr>
        <w:t>1</w:t>
      </w:r>
      <w:r w:rsidRPr="003C3367">
        <w:rPr>
          <w:rFonts w:ascii="Times New Roman" w:hAnsi="Times New Roman"/>
          <w:bCs/>
          <w:sz w:val="24"/>
          <w:szCs w:val="24"/>
        </w:rPr>
        <w:t>, deve tenere necessariamente in debita considerazione alcuni elementi essenziali dal punto di vista strategico, normativo ed organizzativo, che incidono profondamente sulle scelte sottese all’adozione del presente documento di programmazione e di gestione.</w:t>
      </w:r>
    </w:p>
    <w:p w:rsidR="00A409F1" w:rsidRPr="00E63330" w:rsidRDefault="0096592E" w:rsidP="00A23A97">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E’ necessario preliminarmente ripercorrere, al fine di far comprendere meglio quanto avvenuto nel 2018,</w:t>
      </w:r>
      <w:r w:rsidR="009B1713">
        <w:rPr>
          <w:rFonts w:ascii="Times New Roman" w:hAnsi="Times New Roman"/>
          <w:bCs/>
          <w:sz w:val="24"/>
          <w:szCs w:val="24"/>
        </w:rPr>
        <w:t xml:space="preserve"> </w:t>
      </w:r>
      <w:r w:rsidRPr="003C3367">
        <w:rPr>
          <w:rFonts w:ascii="Times New Roman" w:hAnsi="Times New Roman"/>
          <w:bCs/>
          <w:sz w:val="24"/>
          <w:szCs w:val="24"/>
        </w:rPr>
        <w:t>le principali novità che hanno caratterizzato</w:t>
      </w:r>
      <w:r w:rsidR="009B7CE6">
        <w:rPr>
          <w:rFonts w:ascii="Times New Roman" w:hAnsi="Times New Roman"/>
          <w:bCs/>
          <w:sz w:val="24"/>
          <w:szCs w:val="24"/>
        </w:rPr>
        <w:t xml:space="preserve"> </w:t>
      </w:r>
      <w:r w:rsidRPr="003C3367">
        <w:rPr>
          <w:rFonts w:ascii="Times New Roman" w:hAnsi="Times New Roman"/>
          <w:bCs/>
          <w:sz w:val="24"/>
          <w:szCs w:val="24"/>
        </w:rPr>
        <w:t xml:space="preserve">i due anni precedenti. In particolare: </w:t>
      </w:r>
    </w:p>
    <w:p w:rsidR="001378E6" w:rsidRDefault="00E12332" w:rsidP="003C3367">
      <w:pPr>
        <w:pStyle w:val="Paragrafoelenco"/>
        <w:numPr>
          <w:ilvl w:val="0"/>
          <w:numId w:val="76"/>
        </w:numPr>
        <w:autoSpaceDE w:val="0"/>
        <w:autoSpaceDN w:val="0"/>
        <w:adjustRightInd w:val="0"/>
        <w:jc w:val="both"/>
        <w:rPr>
          <w:rFonts w:ascii="Times New Roman" w:hAnsi="Times New Roman"/>
          <w:bCs/>
          <w:sz w:val="24"/>
          <w:szCs w:val="24"/>
        </w:rPr>
      </w:pPr>
      <w:r>
        <w:rPr>
          <w:rFonts w:ascii="Times New Roman" w:hAnsi="Times New Roman"/>
          <w:bCs/>
          <w:sz w:val="24"/>
          <w:szCs w:val="24"/>
        </w:rPr>
        <w:t>Il</w:t>
      </w:r>
      <w:r w:rsidR="0096592E" w:rsidRPr="003C3367">
        <w:rPr>
          <w:rFonts w:ascii="Times New Roman" w:hAnsi="Times New Roman"/>
          <w:bCs/>
          <w:sz w:val="24"/>
          <w:szCs w:val="24"/>
        </w:rPr>
        <w:t xml:space="preserve"> 2016 </w:t>
      </w:r>
      <w:r w:rsidR="0096592E">
        <w:rPr>
          <w:rFonts w:ascii="Times New Roman" w:hAnsi="Times New Roman"/>
          <w:bCs/>
          <w:sz w:val="24"/>
          <w:szCs w:val="24"/>
        </w:rPr>
        <w:t xml:space="preserve">ha segnato </w:t>
      </w:r>
      <w:r w:rsidR="0096592E" w:rsidRPr="003C3367">
        <w:rPr>
          <w:rFonts w:ascii="Times New Roman" w:hAnsi="Times New Roman"/>
          <w:bCs/>
          <w:sz w:val="24"/>
          <w:szCs w:val="24"/>
        </w:rPr>
        <w:t>l’ingresso a regime delle nuove procedure connesse alle mutate regole comunitarie e l’assegnazione di ulteriori funzioni all’Agenzia da parte della Giunta della Regione Calabria</w:t>
      </w:r>
      <w:r w:rsidR="00A67C0C">
        <w:rPr>
          <w:rFonts w:ascii="Times New Roman" w:hAnsi="Times New Roman"/>
          <w:bCs/>
          <w:sz w:val="24"/>
          <w:szCs w:val="24"/>
        </w:rPr>
        <w:t xml:space="preserve">, con particolare riferimento al processo di gestione delle </w:t>
      </w:r>
      <w:r w:rsidR="00A67C0C" w:rsidRPr="00A67C0C">
        <w:rPr>
          <w:rFonts w:ascii="Times New Roman" w:hAnsi="Times New Roman"/>
          <w:bCs/>
          <w:sz w:val="24"/>
          <w:szCs w:val="24"/>
        </w:rPr>
        <w:t>agevolazion</w:t>
      </w:r>
      <w:r w:rsidR="00A67C0C">
        <w:rPr>
          <w:rFonts w:ascii="Times New Roman" w:hAnsi="Times New Roman"/>
          <w:bCs/>
          <w:sz w:val="24"/>
          <w:szCs w:val="24"/>
        </w:rPr>
        <w:t>i</w:t>
      </w:r>
      <w:r w:rsidR="00A67C0C" w:rsidRPr="00A67C0C">
        <w:rPr>
          <w:rFonts w:ascii="Times New Roman" w:hAnsi="Times New Roman"/>
          <w:bCs/>
          <w:sz w:val="24"/>
          <w:szCs w:val="24"/>
        </w:rPr>
        <w:t xml:space="preserve"> fiscal</w:t>
      </w:r>
      <w:r w:rsidR="00A67C0C">
        <w:rPr>
          <w:rFonts w:ascii="Times New Roman" w:hAnsi="Times New Roman"/>
          <w:bCs/>
          <w:sz w:val="24"/>
          <w:szCs w:val="24"/>
        </w:rPr>
        <w:t>i</w:t>
      </w:r>
      <w:r w:rsidR="00A67C0C" w:rsidRPr="00A67C0C">
        <w:rPr>
          <w:rFonts w:ascii="Times New Roman" w:hAnsi="Times New Roman"/>
          <w:bCs/>
          <w:sz w:val="24"/>
          <w:szCs w:val="24"/>
        </w:rPr>
        <w:t xml:space="preserve"> sull'acquisto di oli minerali impiegati nei lavori agricoli, orticoli, in allevamento, nella silvicoltura, piscicoltura e nelle coltivazioni sotto serra</w:t>
      </w:r>
      <w:r w:rsidR="00A67C0C">
        <w:rPr>
          <w:rFonts w:ascii="Times New Roman" w:hAnsi="Times New Roman"/>
          <w:bCs/>
          <w:sz w:val="24"/>
          <w:szCs w:val="24"/>
        </w:rPr>
        <w:t xml:space="preserve"> (meglio conosciuto come UMA)</w:t>
      </w:r>
      <w:r w:rsidR="009B1713">
        <w:rPr>
          <w:rFonts w:ascii="Times New Roman" w:hAnsi="Times New Roman"/>
          <w:bCs/>
          <w:sz w:val="24"/>
          <w:szCs w:val="24"/>
        </w:rPr>
        <w:t>;</w:t>
      </w:r>
    </w:p>
    <w:p w:rsidR="005B0BF6" w:rsidRDefault="005B0BF6" w:rsidP="003C3367">
      <w:pPr>
        <w:pStyle w:val="Paragrafoelenco"/>
        <w:numPr>
          <w:ilvl w:val="0"/>
          <w:numId w:val="76"/>
        </w:numPr>
        <w:autoSpaceDE w:val="0"/>
        <w:autoSpaceDN w:val="0"/>
        <w:adjustRightInd w:val="0"/>
        <w:ind w:left="709" w:hanging="283"/>
        <w:jc w:val="both"/>
        <w:rPr>
          <w:rFonts w:ascii="Times New Roman" w:hAnsi="Times New Roman"/>
          <w:bCs/>
          <w:sz w:val="24"/>
          <w:szCs w:val="24"/>
        </w:rPr>
      </w:pPr>
      <w:r>
        <w:rPr>
          <w:rFonts w:ascii="Times New Roman" w:hAnsi="Times New Roman"/>
          <w:bCs/>
          <w:sz w:val="24"/>
          <w:szCs w:val="24"/>
        </w:rPr>
        <w:t xml:space="preserve"> </w:t>
      </w:r>
      <w:r w:rsidR="00E12332">
        <w:rPr>
          <w:rFonts w:ascii="Times New Roman" w:hAnsi="Times New Roman"/>
          <w:bCs/>
          <w:sz w:val="24"/>
          <w:szCs w:val="24"/>
        </w:rPr>
        <w:t>Il</w:t>
      </w:r>
      <w:r w:rsidRPr="0096592E">
        <w:rPr>
          <w:rFonts w:ascii="Times New Roman" w:hAnsi="Times New Roman"/>
          <w:bCs/>
          <w:sz w:val="24"/>
          <w:szCs w:val="24"/>
        </w:rPr>
        <w:t xml:space="preserve"> 2017 </w:t>
      </w:r>
      <w:r>
        <w:rPr>
          <w:rFonts w:ascii="Times New Roman" w:hAnsi="Times New Roman"/>
          <w:bCs/>
          <w:sz w:val="24"/>
          <w:szCs w:val="24"/>
        </w:rPr>
        <w:t>è</w:t>
      </w:r>
      <w:r w:rsidRPr="0096592E">
        <w:rPr>
          <w:rFonts w:ascii="Times New Roman" w:hAnsi="Times New Roman"/>
          <w:bCs/>
          <w:sz w:val="24"/>
          <w:szCs w:val="24"/>
        </w:rPr>
        <w:t xml:space="preserve"> stato</w:t>
      </w:r>
      <w:r>
        <w:rPr>
          <w:rFonts w:ascii="Times New Roman" w:hAnsi="Times New Roman"/>
          <w:bCs/>
          <w:sz w:val="24"/>
          <w:szCs w:val="24"/>
        </w:rPr>
        <w:t>, invece,</w:t>
      </w:r>
      <w:r w:rsidR="009B7CE6">
        <w:rPr>
          <w:rFonts w:ascii="Times New Roman" w:hAnsi="Times New Roman"/>
          <w:bCs/>
          <w:sz w:val="24"/>
          <w:szCs w:val="24"/>
        </w:rPr>
        <w:t xml:space="preserve"> </w:t>
      </w:r>
      <w:r>
        <w:rPr>
          <w:rFonts w:ascii="Times New Roman" w:hAnsi="Times New Roman"/>
          <w:bCs/>
          <w:sz w:val="24"/>
          <w:szCs w:val="24"/>
        </w:rPr>
        <w:t xml:space="preserve">costellato </w:t>
      </w:r>
      <w:r w:rsidRPr="0096592E">
        <w:rPr>
          <w:rFonts w:ascii="Times New Roman" w:hAnsi="Times New Roman"/>
          <w:bCs/>
          <w:sz w:val="24"/>
          <w:szCs w:val="24"/>
        </w:rPr>
        <w:t xml:space="preserve">da numerosi interventi di Audit che l’Agenzia ha dovuto affrontare e che hanno necessariamente impegnato tutto il personale su più livelli, conducendo anche a modifiche nelle procedure organizzative e gestionali. Sono state, infatti, ben cinque le verifiche pianificate e condotte da diversi attori quali l’Organismo di Certificazione dei Conti (che invero esegue l’Audit ogni anno), dal </w:t>
      </w:r>
      <w:r w:rsidR="0074533F">
        <w:rPr>
          <w:rFonts w:ascii="Times New Roman" w:hAnsi="Times New Roman"/>
          <w:bCs/>
          <w:sz w:val="24"/>
          <w:szCs w:val="24"/>
        </w:rPr>
        <w:t>MIPAAFT</w:t>
      </w:r>
      <w:r w:rsidRPr="0096592E">
        <w:rPr>
          <w:rFonts w:ascii="Times New Roman" w:hAnsi="Times New Roman"/>
          <w:bCs/>
          <w:sz w:val="24"/>
          <w:szCs w:val="24"/>
        </w:rPr>
        <w:t xml:space="preserve"> (i cui interventi sono in genere previsti su base triennale) e dai Servizi della Commissione Europa (che, invece, eseguono sessioni di verifica a rotazione su tutti gli Stati Membri).</w:t>
      </w:r>
    </w:p>
    <w:p w:rsidR="001378E6" w:rsidRDefault="001378E6" w:rsidP="003C3367">
      <w:pPr>
        <w:pStyle w:val="Paragrafoelenco"/>
        <w:ind w:left="0"/>
        <w:rPr>
          <w:rFonts w:ascii="Times New Roman" w:hAnsi="Times New Roman"/>
          <w:bCs/>
          <w:sz w:val="24"/>
          <w:szCs w:val="24"/>
        </w:rPr>
      </w:pPr>
    </w:p>
    <w:p w:rsidR="001378E6" w:rsidRDefault="0096592E" w:rsidP="003C3367">
      <w:pPr>
        <w:pStyle w:val="Paragrafoelenco"/>
        <w:ind w:left="0"/>
        <w:jc w:val="both"/>
        <w:rPr>
          <w:rFonts w:ascii="Times New Roman" w:hAnsi="Times New Roman"/>
          <w:bCs/>
          <w:sz w:val="24"/>
          <w:szCs w:val="24"/>
        </w:rPr>
      </w:pPr>
      <w:r>
        <w:rPr>
          <w:rFonts w:ascii="Times New Roman" w:hAnsi="Times New Roman"/>
          <w:bCs/>
          <w:sz w:val="24"/>
          <w:szCs w:val="24"/>
        </w:rPr>
        <w:t>Alla luce di quanto sopra descritto, è possibile affermare che il percorso seguito dall’Agenzia nel 2018 sia stato, per molti aspetti, guidato dal fisiologico proseguimento delle attività avviate in precedenza: da un lato, infatti</w:t>
      </w:r>
      <w:r w:rsidR="009B1713">
        <w:rPr>
          <w:rFonts w:ascii="Times New Roman" w:hAnsi="Times New Roman"/>
          <w:bCs/>
          <w:sz w:val="24"/>
          <w:szCs w:val="24"/>
        </w:rPr>
        <w:t>,</w:t>
      </w:r>
      <w:r>
        <w:rPr>
          <w:rFonts w:ascii="Times New Roman" w:hAnsi="Times New Roman"/>
          <w:bCs/>
          <w:sz w:val="24"/>
          <w:szCs w:val="24"/>
        </w:rPr>
        <w:t xml:space="preserve"> sono state formalizzate le risultanze delle verifiche effettuate ne</w:t>
      </w:r>
      <w:r w:rsidR="00A52606">
        <w:rPr>
          <w:rFonts w:ascii="Times New Roman" w:hAnsi="Times New Roman"/>
          <w:bCs/>
          <w:sz w:val="24"/>
          <w:szCs w:val="24"/>
        </w:rPr>
        <w:t>l</w:t>
      </w:r>
      <w:r>
        <w:rPr>
          <w:rFonts w:ascii="Times New Roman" w:hAnsi="Times New Roman"/>
          <w:bCs/>
          <w:sz w:val="24"/>
          <w:szCs w:val="24"/>
        </w:rPr>
        <w:t xml:space="preserve"> 2017, che hanno dato l’avvio ai processi di recepimento delle raccomandazioni formulate o alla produzione di controdeduzioni, mentre dall’altro le procedure relative all’UMA sono state ulteriormente integrate soprattutto in virtù dell’avvio dei controlli presso le aziende agricole. </w:t>
      </w:r>
    </w:p>
    <w:p w:rsidR="001378E6" w:rsidRDefault="0096592E" w:rsidP="003C3367">
      <w:pPr>
        <w:pStyle w:val="Paragrafoelenco"/>
        <w:ind w:left="0"/>
        <w:jc w:val="both"/>
        <w:rPr>
          <w:rFonts w:ascii="Times New Roman" w:hAnsi="Times New Roman"/>
          <w:bCs/>
          <w:sz w:val="24"/>
          <w:szCs w:val="24"/>
        </w:rPr>
      </w:pPr>
      <w:r>
        <w:rPr>
          <w:rFonts w:ascii="Times New Roman" w:hAnsi="Times New Roman"/>
          <w:bCs/>
          <w:sz w:val="24"/>
          <w:szCs w:val="24"/>
        </w:rPr>
        <w:t xml:space="preserve">Un aspetto che ha particolarmente interessato, a tutti i livelli, l’Agenzia è stato quello connesso alla gestione del cosiddetto “Tasso di Errore” nelle erogazioni, che può essere, in estrema sintesi, descritto come la differenza tra l’importo richiesto dai </w:t>
      </w:r>
      <w:r w:rsidR="009B7CE6">
        <w:rPr>
          <w:rFonts w:ascii="Times New Roman" w:hAnsi="Times New Roman"/>
          <w:bCs/>
          <w:sz w:val="24"/>
          <w:szCs w:val="24"/>
        </w:rPr>
        <w:t>beneficiari</w:t>
      </w:r>
      <w:r>
        <w:rPr>
          <w:rFonts w:ascii="Times New Roman" w:hAnsi="Times New Roman"/>
          <w:bCs/>
          <w:sz w:val="24"/>
          <w:szCs w:val="24"/>
        </w:rPr>
        <w:t>, in sede di presentazione delle domande, e quello determinato, al netto delle sanzioni</w:t>
      </w:r>
      <w:r w:rsidR="00AE576E">
        <w:rPr>
          <w:rFonts w:ascii="Times New Roman" w:hAnsi="Times New Roman"/>
          <w:bCs/>
          <w:sz w:val="24"/>
          <w:szCs w:val="24"/>
        </w:rPr>
        <w:t>,</w:t>
      </w:r>
      <w:r>
        <w:rPr>
          <w:rFonts w:ascii="Times New Roman" w:hAnsi="Times New Roman"/>
          <w:bCs/>
          <w:sz w:val="24"/>
          <w:szCs w:val="24"/>
        </w:rPr>
        <w:t xml:space="preserve"> dall’Organismo Pagatore in seguito ai “controlli in loco”. </w:t>
      </w:r>
    </w:p>
    <w:p w:rsidR="001378E6" w:rsidRDefault="0096592E" w:rsidP="003C3367">
      <w:pPr>
        <w:pStyle w:val="Paragrafoelenco"/>
        <w:ind w:left="0"/>
        <w:jc w:val="both"/>
        <w:rPr>
          <w:rFonts w:ascii="Times New Roman" w:hAnsi="Times New Roman"/>
          <w:bCs/>
          <w:sz w:val="24"/>
          <w:szCs w:val="24"/>
        </w:rPr>
      </w:pPr>
      <w:r>
        <w:rPr>
          <w:rFonts w:ascii="Times New Roman" w:hAnsi="Times New Roman"/>
          <w:bCs/>
          <w:sz w:val="24"/>
          <w:szCs w:val="24"/>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1378E6" w:rsidRDefault="0096592E" w:rsidP="003C3367">
      <w:pPr>
        <w:pStyle w:val="Paragrafoelenco"/>
        <w:ind w:left="0"/>
        <w:jc w:val="both"/>
        <w:rPr>
          <w:rFonts w:ascii="Times New Roman" w:hAnsi="Times New Roman"/>
          <w:bCs/>
          <w:sz w:val="24"/>
          <w:szCs w:val="24"/>
        </w:rPr>
      </w:pPr>
      <w:r>
        <w:rPr>
          <w:rFonts w:ascii="Times New Roman" w:hAnsi="Times New Roman"/>
          <w:bCs/>
          <w:sz w:val="24"/>
          <w:szCs w:val="24"/>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w:t>
      </w:r>
      <w:r w:rsidR="00A67C0C">
        <w:rPr>
          <w:rFonts w:ascii="Times New Roman" w:hAnsi="Times New Roman"/>
          <w:bCs/>
          <w:sz w:val="24"/>
          <w:szCs w:val="24"/>
        </w:rPr>
        <w:t>la percentuale</w:t>
      </w:r>
      <w:r>
        <w:rPr>
          <w:rFonts w:ascii="Times New Roman" w:hAnsi="Times New Roman"/>
          <w:bCs/>
          <w:sz w:val="24"/>
          <w:szCs w:val="24"/>
        </w:rPr>
        <w:t xml:space="preserve"> di errore entro limiti accettabili. </w:t>
      </w:r>
    </w:p>
    <w:p w:rsidR="001378E6" w:rsidRDefault="0096592E" w:rsidP="003C3367">
      <w:pPr>
        <w:pStyle w:val="Paragrafoelenco"/>
        <w:ind w:left="0"/>
        <w:jc w:val="both"/>
        <w:rPr>
          <w:rFonts w:ascii="Times New Roman" w:hAnsi="Times New Roman"/>
          <w:bCs/>
          <w:sz w:val="24"/>
          <w:szCs w:val="24"/>
        </w:rPr>
      </w:pPr>
      <w:r>
        <w:rPr>
          <w:rFonts w:ascii="Times New Roman" w:hAnsi="Times New Roman"/>
          <w:bCs/>
          <w:sz w:val="24"/>
          <w:szCs w:val="24"/>
        </w:rPr>
        <w:t xml:space="preserve">Conseguentemente, per l’anno 2019 l’ARCEA ha deciso di orientare anche il Ciclo delle Performance verso le tematiche sopra descritte per riconnettere anche le valutazioni di tutto il </w:t>
      </w:r>
      <w:r>
        <w:rPr>
          <w:rFonts w:ascii="Times New Roman" w:hAnsi="Times New Roman"/>
          <w:bCs/>
          <w:sz w:val="24"/>
          <w:szCs w:val="24"/>
        </w:rPr>
        <w:lastRenderedPageBreak/>
        <w:t>personale ai risultati prodotti dal predetto Piano di Azione</w:t>
      </w:r>
      <w:r w:rsidR="00A67C0C">
        <w:rPr>
          <w:rFonts w:ascii="Times New Roman" w:hAnsi="Times New Roman"/>
          <w:bCs/>
          <w:sz w:val="24"/>
          <w:szCs w:val="24"/>
        </w:rPr>
        <w:t>, puntando in tale modo sia a canalizzare tutti gli sforzi verso un obiettivo di fondamentale importanza sia ad integrare tra loro, come previsto dalla normativa, i diversi documenti Strategici adottati per il perseguimento dei propri obiettivi istituzionali</w:t>
      </w:r>
      <w:r>
        <w:rPr>
          <w:rFonts w:ascii="Times New Roman" w:hAnsi="Times New Roman"/>
          <w:bCs/>
          <w:sz w:val="24"/>
          <w:szCs w:val="24"/>
        </w:rPr>
        <w:t xml:space="preserve">. </w:t>
      </w:r>
    </w:p>
    <w:p w:rsidR="001378E6" w:rsidRPr="003C3367" w:rsidRDefault="0096592E" w:rsidP="003C3367">
      <w:pPr>
        <w:pStyle w:val="Paragrafoelenco"/>
        <w:ind w:left="0"/>
        <w:jc w:val="both"/>
        <w:rPr>
          <w:rFonts w:ascii="Times New Roman" w:hAnsi="Times New Roman"/>
        </w:rPr>
      </w:pPr>
      <w:r>
        <w:rPr>
          <w:rFonts w:ascii="Times New Roman" w:hAnsi="Times New Roman"/>
          <w:bCs/>
          <w:sz w:val="24"/>
          <w:szCs w:val="24"/>
        </w:rPr>
        <w:t xml:space="preserve">Il presente Piano rappresenta, pertanto, l’avvio di un percorso sperimentale nel quale l’Agenzia intende fornire priorità assoluta alle attività di riduzione del tasso di errore anche attraverso la rivisitazione di obiettivi ed indicatori, sia di impatto che operativi. </w:t>
      </w:r>
    </w:p>
    <w:p w:rsidR="000F3D68" w:rsidRPr="003C3367" w:rsidRDefault="0096592E">
      <w:pPr>
        <w:autoSpaceDE w:val="0"/>
        <w:autoSpaceDN w:val="0"/>
        <w:adjustRightInd w:val="0"/>
        <w:jc w:val="both"/>
        <w:rPr>
          <w:rFonts w:ascii="Times New Roman" w:hAnsi="Times New Roman"/>
        </w:rPr>
      </w:pPr>
      <w:bookmarkStart w:id="26" w:name="OLE_LINK12"/>
      <w:bookmarkStart w:id="27" w:name="OLE_LINK23"/>
      <w:r>
        <w:rPr>
          <w:rFonts w:ascii="Times New Roman" w:hAnsi="Times New Roman"/>
          <w:bCs/>
          <w:sz w:val="24"/>
          <w:szCs w:val="24"/>
        </w:rPr>
        <w:t>E’ necessario, altresì, ricordare che, in relazione all’UMA, oltre alle attività connesse ai controlli in loco anticipate in precedenza, l’Agenzia ha anche predisposto e messo in esercizio le procedure informatizzate di predisposizione invio elettronico</w:t>
      </w:r>
      <w:r w:rsidR="009B7CE6">
        <w:rPr>
          <w:rFonts w:ascii="Times New Roman" w:hAnsi="Times New Roman"/>
          <w:bCs/>
          <w:sz w:val="24"/>
          <w:szCs w:val="24"/>
        </w:rPr>
        <w:t xml:space="preserve"> </w:t>
      </w:r>
      <w:r>
        <w:rPr>
          <w:rFonts w:ascii="Times New Roman" w:hAnsi="Times New Roman"/>
          <w:bCs/>
          <w:sz w:val="24"/>
          <w:szCs w:val="24"/>
        </w:rPr>
        <w:t xml:space="preserve">delle Domande UMA </w:t>
      </w:r>
      <w:bookmarkEnd w:id="26"/>
      <w:bookmarkEnd w:id="27"/>
      <w:r>
        <w:rPr>
          <w:rFonts w:ascii="Times New Roman" w:hAnsi="Times New Roman"/>
          <w:bCs/>
          <w:sz w:val="24"/>
          <w:szCs w:val="24"/>
        </w:rPr>
        <w:t>e, in generale, di gestione dei relativi procedimenti, dotate</w:t>
      </w:r>
      <w:r w:rsidR="005B0BF6">
        <w:rPr>
          <w:rFonts w:ascii="Times New Roman" w:hAnsi="Times New Roman"/>
          <w:bCs/>
          <w:sz w:val="24"/>
          <w:szCs w:val="24"/>
        </w:rPr>
        <w:t xml:space="preserve"> </w:t>
      </w:r>
      <w:r>
        <w:rPr>
          <w:rFonts w:ascii="Times New Roman" w:hAnsi="Times New Roman"/>
          <w:bCs/>
          <w:sz w:val="24"/>
          <w:szCs w:val="24"/>
        </w:rPr>
        <w:t>di funzionalità tali da consentire il pieno interscambio dei dati e delle</w:t>
      </w:r>
      <w:r w:rsidR="009B7CE6">
        <w:rPr>
          <w:rFonts w:ascii="Times New Roman" w:hAnsi="Times New Roman"/>
          <w:bCs/>
          <w:sz w:val="24"/>
          <w:szCs w:val="24"/>
        </w:rPr>
        <w:t xml:space="preserve"> </w:t>
      </w:r>
      <w:r>
        <w:rPr>
          <w:rFonts w:ascii="Times New Roman" w:hAnsi="Times New Roman"/>
          <w:bCs/>
          <w:sz w:val="24"/>
          <w:szCs w:val="24"/>
        </w:rPr>
        <w:t>informazioni contenute nei fascicoli aziendali elettronici dei richiedenti ed esercitare le funzioni di controllo previste dagli articoli 7 e 8 del DM 454/2001 a carico delle aziende agricole e dei CAA</w:t>
      </w:r>
      <w:r w:rsidRPr="003C3367">
        <w:rPr>
          <w:rFonts w:ascii="Times New Roman" w:hAnsi="Times New Roman"/>
        </w:rPr>
        <w:t xml:space="preserve">. </w:t>
      </w:r>
    </w:p>
    <w:p w:rsidR="000F3D68"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Tale situazione ha comportato, invero, una serie di compiti assai gravosi per l’ARCEA che ha dovuto, di fatto, adeguare il proprio sistema informativo per permettere ai circa 20.000 utenti beneficiari delle concessioni UMA di poter presentare domanda e ricevere il relativo premio. </w:t>
      </w:r>
    </w:p>
    <w:p w:rsidR="00AE0C90"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Ciò ha determinato una estensione del perimetro informatico ed informativo dell’Agenzia con la relativa necessità di dotarsi di nuovi strumenti tecnologici di tipo hardware e software in grado di integrarsi ed interagire con i servizi del Sistema Informativo Agricolo Nazionale (SIAN) che rappresenta la piattaforma digitale attraverso la quale l’Agenzia concretizza le proprie Funzioni Istituzionali, che discendono direttamente dall’Ordinamento Comunitario. </w:t>
      </w:r>
    </w:p>
    <w:p w:rsidR="00BD529C"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Inoltre, l'Agenzia, al fine di verificare il rispetto della normativa in materia di assegnazione del carburante a regime agevolato, deve effettuare</w:t>
      </w:r>
      <w:r w:rsidR="00A67C0C">
        <w:rPr>
          <w:rFonts w:ascii="Times New Roman" w:hAnsi="Times New Roman"/>
          <w:bCs/>
          <w:sz w:val="24"/>
          <w:szCs w:val="24"/>
        </w:rPr>
        <w:t>, come anticipato,</w:t>
      </w:r>
      <w:r>
        <w:rPr>
          <w:rFonts w:ascii="Times New Roman" w:hAnsi="Times New Roman"/>
          <w:bCs/>
          <w:sz w:val="24"/>
          <w:szCs w:val="24"/>
        </w:rPr>
        <w:t xml:space="preserve"> specifici controlli sui soggetti interessati, incrementando, in tal modo, ulteriormente il carico di lavoro di propria competenza.</w:t>
      </w:r>
    </w:p>
    <w:p w:rsidR="00A9360E"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Al fine di comprendere meglio il quadro complessivo entro cui si muove l'azione dell'ARCEA, anche alla luce delle predette innovazioni organizzative, appare</w:t>
      </w:r>
      <w:r w:rsidR="005B0BF6">
        <w:rPr>
          <w:rFonts w:ascii="Times New Roman" w:hAnsi="Times New Roman"/>
          <w:bCs/>
          <w:sz w:val="24"/>
          <w:szCs w:val="24"/>
        </w:rPr>
        <w:t xml:space="preserve"> </w:t>
      </w:r>
      <w:r>
        <w:rPr>
          <w:rFonts w:ascii="Times New Roman" w:hAnsi="Times New Roman"/>
          <w:bCs/>
          <w:sz w:val="24"/>
          <w:szCs w:val="24"/>
        </w:rPr>
        <w:t>opportuno</w:t>
      </w:r>
      <w:r w:rsidR="005B0BF6">
        <w:rPr>
          <w:rFonts w:ascii="Times New Roman" w:hAnsi="Times New Roman"/>
          <w:bCs/>
          <w:sz w:val="24"/>
          <w:szCs w:val="24"/>
        </w:rPr>
        <w:t xml:space="preserve"> </w:t>
      </w:r>
      <w:r>
        <w:rPr>
          <w:rFonts w:ascii="Times New Roman" w:hAnsi="Times New Roman"/>
          <w:bCs/>
          <w:sz w:val="24"/>
          <w:szCs w:val="24"/>
        </w:rPr>
        <w:t>ribadire talune indicazioni normative che consentono di comprendere quali siano i tratti salienti dell'operatività dell'Ente.</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 fonti normative su cui si fonda il periodo di programmazione 2014/2020 si articolano fondamentalmente in tre Regolamenti Comunitari (Reg. UE n. 1305/13, Reg. UE n. 1306/13 e Reg. UE n. 1307/13) che contengono i principi e dettano le conseguenti prescrizioni da applicare in concreto.</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In particolare</w:t>
      </w:r>
      <w:r w:rsidR="005B0BF6">
        <w:rPr>
          <w:rFonts w:ascii="Times New Roman" w:hAnsi="Times New Roman"/>
          <w:bCs/>
          <w:sz w:val="24"/>
          <w:szCs w:val="24"/>
        </w:rPr>
        <w:t>,</w:t>
      </w:r>
      <w:r>
        <w:rPr>
          <w:rFonts w:ascii="Times New Roman" w:hAnsi="Times New Roman"/>
          <w:bCs/>
          <w:sz w:val="24"/>
          <w:szCs w:val="24"/>
        </w:rPr>
        <w:t xml:space="preserve"> è necessario evidenziare che i richiamati Regolamenti Comunitari delineano un sistema di gestione dei Fondi in agricoltura orientato a premiare maggiormente gli investimenti realizzati nel settore rispetto al garantire il mero sostegno al reddito degli aventi titolo.</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 predetta impostazione, che diverge rispetto a quanto previsto nella programmazione 2007-2013, prevede un insieme di regole assai innovative rispetto a quelle precedentemente in vigore, che hanno comportato la necessità di rivedere il complesso sistema sotteso alla corretta operatività dell’Organismo Pagatore.</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Nello specifico, con riferimento al Fondo FEASR, viene configurato un ruolo assai centrale per l’Organismo Pagatore il quale, in sinergia con l’Autorità di Gestione del PSR, “deve impegnarsi a valutare le misure durante l'intero ciclo di attuazione del programma” (Cfr. “Considerato 48” ed art. 62 del Reg. UE n. 1305/2013).</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In ragione del predetto nuovo impianto normativo, dunque, l’ARCEA è divenuta, a partire di fatto dal 2016, pertanto, soggetto primariamente responsabile nei confronti della Comunità Europa, non solo per la fase di erogazione degli aiuti, ma anche per quella di corretta attuazione del Programma di Sviluppo Rurale.</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Allo stesso modo, con riguardo al Fondo FEAGA, l’Agenzia deve correttamente sovraintendere a tutte le fasi di istruttoria delle domande, erogazione dei premi e controllo delle spese effettuate, esercitando anche funzioni di coordinamento con gli attori istituzionali coinvolti nella concretizzazione di tale processo.</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Peraltro, gli effetti prodottisi in conseguenza delle indagini svolte dalle Autorità giudiziarie competenti in ambito agricolo hanno richiesto un ulteriore rafforzamento delle misure di prevenzione e di contrasto delle attività illecite poste in essere in agricoltura, mediante lo svolgimento di attività di verifica orientate alla tutela degli interessi finanziari dell’Unione Europea, dello Stato italiano e della Regione Calabria.</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Quanto sin qui considerato, in definitiva, si riconnette, in modo assai stringente, alle attività di </w:t>
      </w:r>
      <w:proofErr w:type="spellStart"/>
      <w:r>
        <w:rPr>
          <w:rFonts w:ascii="Times New Roman" w:hAnsi="Times New Roman"/>
          <w:bCs/>
          <w:sz w:val="24"/>
          <w:szCs w:val="24"/>
        </w:rPr>
        <w:t>governance</w:t>
      </w:r>
      <w:proofErr w:type="spellEnd"/>
      <w:r>
        <w:rPr>
          <w:rFonts w:ascii="Times New Roman" w:hAnsi="Times New Roman"/>
          <w:bCs/>
          <w:sz w:val="24"/>
          <w:szCs w:val="24"/>
        </w:rPr>
        <w:t xml:space="preserve"> e gestione operativa che hanno condotto</w:t>
      </w:r>
      <w:r w:rsidR="009B7CE6">
        <w:rPr>
          <w:rFonts w:ascii="Times New Roman" w:hAnsi="Times New Roman"/>
          <w:bCs/>
          <w:sz w:val="24"/>
          <w:szCs w:val="24"/>
        </w:rPr>
        <w:t xml:space="preserve"> </w:t>
      </w:r>
      <w:r>
        <w:rPr>
          <w:rFonts w:ascii="Times New Roman" w:hAnsi="Times New Roman"/>
          <w:bCs/>
          <w:sz w:val="24"/>
          <w:szCs w:val="24"/>
        </w:rPr>
        <w:t>a ridisegnare gli ambiti di operatività dell’ARCEA, sia in funzione dell’ottimale gestione dei Fondi per i quali essa è riconosciuta quale Organismo Pagatore, che nell’ottica di creare indispensabili condizioni di sinergia strategica ed esecutiva, richieste in concreto dalle norme, con gli altri soggetti istituzionali preposti all’attuazione della Politica Agricola Comune in Regione Calabria (Autorità di Gestione del PSR, Dipartimento Agricoltura della Regione Calabria, Centri di Assistenza Agricola, ecc.).</w:t>
      </w:r>
    </w:p>
    <w:p w:rsidR="00EC599A" w:rsidRPr="00E63330" w:rsidRDefault="0096592E" w:rsidP="00A23A97">
      <w:p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Esenzione dai limiti derivanti dalla “</w:t>
      </w:r>
      <w:proofErr w:type="spellStart"/>
      <w:r>
        <w:rPr>
          <w:rFonts w:ascii="Times New Roman" w:hAnsi="Times New Roman"/>
          <w:b/>
          <w:bCs/>
          <w:sz w:val="24"/>
          <w:szCs w:val="24"/>
          <w:u w:val="single"/>
        </w:rPr>
        <w:t>spending</w:t>
      </w:r>
      <w:proofErr w:type="spellEnd"/>
      <w:r>
        <w:rPr>
          <w:rFonts w:ascii="Times New Roman" w:hAnsi="Times New Roman"/>
          <w:b/>
          <w:bCs/>
          <w:sz w:val="24"/>
          <w:szCs w:val="24"/>
          <w:u w:val="single"/>
        </w:rPr>
        <w:t xml:space="preserve"> </w:t>
      </w:r>
      <w:proofErr w:type="spellStart"/>
      <w:r>
        <w:rPr>
          <w:rFonts w:ascii="Times New Roman" w:hAnsi="Times New Roman"/>
          <w:b/>
          <w:bCs/>
          <w:sz w:val="24"/>
          <w:szCs w:val="24"/>
          <w:u w:val="single"/>
        </w:rPr>
        <w:t>review</w:t>
      </w:r>
      <w:proofErr w:type="spellEnd"/>
      <w:r>
        <w:rPr>
          <w:rFonts w:ascii="Times New Roman" w:hAnsi="Times New Roman"/>
          <w:b/>
          <w:bCs/>
          <w:sz w:val="24"/>
          <w:szCs w:val="24"/>
          <w:u w:val="single"/>
        </w:rPr>
        <w:t>” regionale</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L'importanza che l'ARCEA ha assunto nel panorama degli Enti strumentali della Regione Calabria è, peraltro, confermata dalla Legge regionale 18 maggio 2017, n. 20 che ha fornito un’interpretazione autentica del comma 1 ter dell’articolo 12 della legge regionale 8 luglio 2002, n. 24 ribandendo che i limiti derivanti da disposizioni di legge regionale in materia di contenimento della spesa per gli enti sub</w:t>
      </w:r>
      <w:r w:rsidR="009B7CE6">
        <w:rPr>
          <w:rFonts w:ascii="Times New Roman" w:hAnsi="Times New Roman"/>
          <w:bCs/>
          <w:sz w:val="24"/>
          <w:szCs w:val="24"/>
        </w:rPr>
        <w:t xml:space="preserve"> </w:t>
      </w:r>
      <w:r>
        <w:rPr>
          <w:rFonts w:ascii="Times New Roman" w:hAnsi="Times New Roman"/>
          <w:bCs/>
          <w:sz w:val="24"/>
          <w:szCs w:val="24"/>
        </w:rPr>
        <w:t>regionali non si applicano all'Agenzia della Regione Calabria per le erogazioni in agricoltura (ARCEA) limitatamente alle attività previste nella legge stessa.</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Il superamento dei limiti nell’allocazione delle risorse, pur nel pieno rispetto del mantenimento degli equilibri contabili previsti dalla legge, costituisce, in questa ottica,</w:t>
      </w:r>
      <w:r w:rsidR="009B7CE6">
        <w:rPr>
          <w:rFonts w:ascii="Times New Roman" w:hAnsi="Times New Roman"/>
          <w:bCs/>
          <w:sz w:val="24"/>
          <w:szCs w:val="24"/>
        </w:rPr>
        <w:t xml:space="preserve"> </w:t>
      </w:r>
      <w:r>
        <w:rPr>
          <w:rFonts w:ascii="Times New Roman" w:hAnsi="Times New Roman"/>
          <w:bCs/>
          <w:sz w:val="24"/>
          <w:szCs w:val="24"/>
        </w:rPr>
        <w:t>presupposto essenziale per il corretto adempimento delle molteplici competenze di cui ora l’Agenzia è pienamente responsabile nei confronti sia degli “</w:t>
      </w:r>
      <w:proofErr w:type="spellStart"/>
      <w:r>
        <w:rPr>
          <w:rFonts w:ascii="Times New Roman" w:hAnsi="Times New Roman"/>
          <w:bCs/>
          <w:sz w:val="24"/>
          <w:szCs w:val="24"/>
        </w:rPr>
        <w:t>s</w:t>
      </w:r>
      <w:r>
        <w:rPr>
          <w:rFonts w:ascii="Times New Roman" w:hAnsi="Times New Roman"/>
          <w:bCs/>
          <w:i/>
          <w:sz w:val="24"/>
          <w:szCs w:val="24"/>
        </w:rPr>
        <w:t>takeholders</w:t>
      </w:r>
      <w:proofErr w:type="spellEnd"/>
      <w:r>
        <w:rPr>
          <w:rFonts w:ascii="Times New Roman" w:hAnsi="Times New Roman"/>
          <w:bCs/>
          <w:sz w:val="24"/>
          <w:szCs w:val="24"/>
        </w:rPr>
        <w:t>” esterni che delle Autorità comunitarie e nazionali preposte alla supervisione sugli O.P., la cui natura è, anche alla luce del rinnovato impianto normativo europeo e regionale, marcatamente orientata al controllo sulla correttezza del complessivo</w:t>
      </w:r>
      <w:r>
        <w:rPr>
          <w:rFonts w:ascii="Times New Roman" w:hAnsi="Times New Roman"/>
          <w:bCs/>
          <w:i/>
          <w:sz w:val="24"/>
          <w:szCs w:val="24"/>
        </w:rPr>
        <w:t xml:space="preserve"> iter</w:t>
      </w:r>
      <w:r>
        <w:rPr>
          <w:rFonts w:ascii="Times New Roman" w:hAnsi="Times New Roman"/>
          <w:bCs/>
          <w:sz w:val="24"/>
          <w:szCs w:val="24"/>
        </w:rPr>
        <w:t xml:space="preserve"> di erogazione delle risorse in agricoltura.</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In merito, appare necessario sottolineare che l’Agenzia rappresenta il primo O.P.R. per numero di domande gestite (oltre 140.000 annue), per quantità di risorse erogate (oltre 400 milioni di euro </w:t>
      </w:r>
      <w:r>
        <w:rPr>
          <w:rFonts w:ascii="Times New Roman" w:hAnsi="Times New Roman"/>
          <w:bCs/>
          <w:sz w:val="24"/>
          <w:szCs w:val="24"/>
        </w:rPr>
        <w:lastRenderedPageBreak/>
        <w:t>annui) e per controlli effettuati (circa 3.500), a fronte della pianta organica più esigua e del budget più ristretto rispetto ad altri enti analoghi.</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pedissequamente alle stringenti prescrizioni in ordine al riconoscimento quale Organismo Pagatore, imposti dalla normativa di riferimento. </w:t>
      </w:r>
    </w:p>
    <w:p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rsidR="00A23A97" w:rsidRPr="00E63330" w:rsidRDefault="00A23A97" w:rsidP="00A23A97">
      <w:pPr>
        <w:autoSpaceDE w:val="0"/>
        <w:autoSpaceDN w:val="0"/>
        <w:adjustRightInd w:val="0"/>
        <w:rPr>
          <w:rFonts w:ascii="Times New Roman" w:hAnsi="Times New Roman"/>
          <w:b/>
          <w:bCs/>
          <w:sz w:val="8"/>
          <w:szCs w:val="28"/>
        </w:rPr>
      </w:pPr>
    </w:p>
    <w:p w:rsidR="00D83AB5" w:rsidRPr="00E63330" w:rsidRDefault="0096592E" w:rsidP="002F58B2">
      <w:pPr>
        <w:pStyle w:val="Titolo1"/>
      </w:pPr>
      <w:bookmarkStart w:id="28" w:name="_Toc1046937"/>
      <w:r w:rsidRPr="003C3367">
        <w:t>SWOT Analysis dell’ARCEA</w:t>
      </w:r>
      <w:bookmarkEnd w:id="28"/>
    </w:p>
    <w:p w:rsidR="00183AF6" w:rsidRPr="00E63330" w:rsidRDefault="0096592E" w:rsidP="00D83AB5">
      <w:pPr>
        <w:pStyle w:val="Titolo2"/>
        <w:tabs>
          <w:tab w:val="left" w:pos="709"/>
        </w:tabs>
        <w:spacing w:after="120"/>
        <w:ind w:hanging="283"/>
        <w:contextualSpacing w:val="0"/>
      </w:pPr>
      <w:bookmarkStart w:id="29" w:name="_Toc1046938"/>
      <w:r w:rsidRPr="003C3367">
        <w:t>Che cosa è L’ARCEA</w:t>
      </w:r>
      <w:bookmarkEnd w:id="29"/>
    </w:p>
    <w:p w:rsidR="000E5F07" w:rsidRPr="00E63330" w:rsidRDefault="0096592E" w:rsidP="00050A78">
      <w:pPr>
        <w:pStyle w:val="NormaleWeb"/>
        <w:spacing w:line="276" w:lineRule="auto"/>
        <w:jc w:val="both"/>
        <w:rPr>
          <w:rFonts w:eastAsia="Calibri"/>
          <w:bCs/>
          <w:lang w:eastAsia="en-US"/>
        </w:rPr>
      </w:pPr>
      <w:r w:rsidRPr="003C3367">
        <w:rPr>
          <w:rFonts w:eastAsia="Calibri"/>
          <w:bCs/>
          <w:lang w:eastAsia="en-US"/>
        </w:rPr>
        <w:t xml:space="preserve">L’ARCEA è l’Organismo Pagatore per la Regione Calabria, riconosciuto con provvedimento del </w:t>
      </w:r>
      <w:r w:rsidR="0074533F">
        <w:rPr>
          <w:rFonts w:eastAsia="Calibri"/>
          <w:bCs/>
          <w:lang w:eastAsia="en-US"/>
        </w:rPr>
        <w:t>MIPAAF</w:t>
      </w:r>
      <w:r w:rsidRPr="003C3367">
        <w:rPr>
          <w:rFonts w:eastAsia="Calibri"/>
          <w:bCs/>
          <w:lang w:eastAsia="en-US"/>
        </w:rPr>
        <w:t xml:space="preserve"> del 14 ottobre 2009, responsabile del processo di erogazione di aiuti, contributi e premi previsti da disposizioni comunitarie, nazionali e regionali a favore del mondo rurale stanziati rispettivamente da: </w:t>
      </w:r>
    </w:p>
    <w:p w:rsidR="000E5F07" w:rsidRPr="00E63330" w:rsidRDefault="0096592E" w:rsidP="002A60AA">
      <w:pPr>
        <w:pStyle w:val="NormaleWeb"/>
        <w:numPr>
          <w:ilvl w:val="0"/>
          <w:numId w:val="2"/>
        </w:numPr>
        <w:spacing w:line="360" w:lineRule="auto"/>
        <w:ind w:left="284" w:firstLine="0"/>
        <w:jc w:val="both"/>
        <w:rPr>
          <w:rFonts w:eastAsia="Calibri"/>
          <w:bCs/>
          <w:lang w:eastAsia="en-US"/>
        </w:rPr>
      </w:pPr>
      <w:r w:rsidRPr="003C3367">
        <w:rPr>
          <w:rFonts w:eastAsia="Calibri"/>
          <w:bCs/>
          <w:lang w:eastAsia="en-US"/>
        </w:rPr>
        <w:t>Fondi FEAGA e FEASR di cui al Regolamento (CE) n. 1306/2013;</w:t>
      </w:r>
    </w:p>
    <w:p w:rsidR="000E5F07" w:rsidRPr="00E63330" w:rsidRDefault="0096592E" w:rsidP="002A60AA">
      <w:pPr>
        <w:pStyle w:val="NormaleWeb"/>
        <w:numPr>
          <w:ilvl w:val="0"/>
          <w:numId w:val="2"/>
        </w:numPr>
        <w:spacing w:line="360" w:lineRule="auto"/>
        <w:ind w:left="0" w:firstLine="284"/>
        <w:jc w:val="both"/>
        <w:rPr>
          <w:rFonts w:eastAsia="Calibri"/>
          <w:bCs/>
          <w:lang w:eastAsia="en-US"/>
        </w:rPr>
      </w:pPr>
      <w:r w:rsidRPr="003C3367">
        <w:rPr>
          <w:rFonts w:eastAsia="Calibri"/>
          <w:bCs/>
          <w:lang w:eastAsia="en-US"/>
        </w:rPr>
        <w:t>Stato Italiano;</w:t>
      </w:r>
    </w:p>
    <w:p w:rsidR="000E5F07" w:rsidRPr="00E63330" w:rsidRDefault="0096592E" w:rsidP="002A60AA">
      <w:pPr>
        <w:pStyle w:val="NormaleWeb"/>
        <w:numPr>
          <w:ilvl w:val="0"/>
          <w:numId w:val="2"/>
        </w:numPr>
        <w:spacing w:line="360" w:lineRule="auto"/>
        <w:ind w:left="0" w:firstLine="284"/>
        <w:jc w:val="both"/>
        <w:rPr>
          <w:rFonts w:eastAsia="Calibri"/>
          <w:bCs/>
          <w:lang w:eastAsia="en-US"/>
        </w:rPr>
      </w:pPr>
      <w:r w:rsidRPr="003C3367">
        <w:rPr>
          <w:rFonts w:eastAsia="Calibri"/>
          <w:bCs/>
          <w:lang w:eastAsia="en-US"/>
        </w:rPr>
        <w:t>Regione Calabria.</w:t>
      </w:r>
    </w:p>
    <w:p w:rsidR="000E5F07" w:rsidRPr="00E63330" w:rsidRDefault="0096592E" w:rsidP="00050A78">
      <w:pPr>
        <w:pStyle w:val="NormaleWeb"/>
        <w:spacing w:line="276" w:lineRule="auto"/>
        <w:jc w:val="both"/>
        <w:rPr>
          <w:rFonts w:eastAsia="Calibri"/>
          <w:bCs/>
          <w:lang w:eastAsia="en-US"/>
        </w:rPr>
      </w:pPr>
      <w:r w:rsidRPr="003C3367">
        <w:rPr>
          <w:rFonts w:eastAsia="Calibri"/>
          <w:bCs/>
          <w:lang w:eastAsia="en-US"/>
        </w:rPr>
        <w:t xml:space="preserve">L’ARCEA, istituita con legge Regionale n. 13 del 2005 (art. 28), è dotata di autonomia amministrativa, organizzativa, contabile, patrimoniale e di proprio personale; opera in base allo Statuto approvato con delibera di Giunta n.748 dell’8 agosto 2005 e successive modifiche. L’Agenzia provvede a: </w:t>
      </w:r>
    </w:p>
    <w:p w:rsidR="000E5F07" w:rsidRPr="00E63330" w:rsidRDefault="0096592E" w:rsidP="002A60AA">
      <w:pPr>
        <w:pStyle w:val="NormaleWeb"/>
        <w:numPr>
          <w:ilvl w:val="0"/>
          <w:numId w:val="3"/>
        </w:numPr>
        <w:spacing w:line="360" w:lineRule="auto"/>
        <w:ind w:left="284" w:firstLine="0"/>
        <w:jc w:val="both"/>
        <w:rPr>
          <w:rFonts w:eastAsia="Calibri"/>
          <w:bCs/>
          <w:lang w:eastAsia="en-US"/>
        </w:rPr>
      </w:pPr>
      <w:r w:rsidRPr="003C3367">
        <w:rPr>
          <w:rFonts w:eastAsia="Calibri"/>
          <w:bCs/>
          <w:lang w:eastAsia="en-US"/>
        </w:rPr>
        <w:t xml:space="preserve">ricevere ed istruire le domande presentate dalle imprese agricole; </w:t>
      </w:r>
    </w:p>
    <w:p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 xml:space="preserve">autorizzare (definire) gli importi da erogare ai richiedenti; </w:t>
      </w:r>
    </w:p>
    <w:p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 xml:space="preserve">liquidare ed eseguire i pagamenti; </w:t>
      </w:r>
    </w:p>
    <w:p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contabilizzare i pagamenti nei libri contabili;</w:t>
      </w:r>
    </w:p>
    <w:p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rendicontare il proprio operato all’UE;</w:t>
      </w:r>
    </w:p>
    <w:p w:rsidR="000E5F07" w:rsidRPr="00E63330" w:rsidRDefault="0096592E" w:rsidP="002A60AA">
      <w:pPr>
        <w:pStyle w:val="NormaleWeb"/>
        <w:numPr>
          <w:ilvl w:val="0"/>
          <w:numId w:val="3"/>
        </w:numPr>
        <w:spacing w:line="360" w:lineRule="auto"/>
        <w:ind w:left="709" w:hanging="425"/>
        <w:jc w:val="both"/>
        <w:rPr>
          <w:rFonts w:eastAsia="Calibri"/>
          <w:bCs/>
          <w:lang w:eastAsia="en-US"/>
        </w:rPr>
      </w:pPr>
      <w:r w:rsidRPr="003C3367">
        <w:rPr>
          <w:rFonts w:eastAsia="Calibri"/>
          <w:bCs/>
          <w:lang w:eastAsia="en-US"/>
        </w:rPr>
        <w:t xml:space="preserve">redigere ed aggiornare i manuali procedurali relativi alle funzioni autorizzazione, esecuzione e contabilizzazione pagamenti. </w:t>
      </w:r>
    </w:p>
    <w:p w:rsidR="00BE3B4D" w:rsidRPr="00E63330" w:rsidRDefault="0096592E" w:rsidP="000E5F07">
      <w:pPr>
        <w:pStyle w:val="NormaleWeb"/>
        <w:jc w:val="both"/>
        <w:rPr>
          <w:rFonts w:eastAsia="Calibri"/>
          <w:bCs/>
          <w:lang w:eastAsia="en-US"/>
        </w:rPr>
      </w:pPr>
      <w:r w:rsidRPr="003C3367">
        <w:rPr>
          <w:rFonts w:eastAsia="Calibri"/>
          <w:bCs/>
          <w:lang w:eastAsia="en-US"/>
        </w:rPr>
        <w:t xml:space="preserve">Il modello operativo di ARCEA asseconda ed agevola i flussi di comunicazione tra le diverse Aree dell’Agenzia e tra la stessa e gli interlocutori esterni. </w:t>
      </w:r>
    </w:p>
    <w:p w:rsidR="000E5F07" w:rsidRPr="00E63330" w:rsidRDefault="0096592E" w:rsidP="000E5F07">
      <w:pPr>
        <w:pStyle w:val="NormaleWeb"/>
        <w:jc w:val="both"/>
        <w:rPr>
          <w:rFonts w:eastAsia="Calibri"/>
          <w:bCs/>
          <w:lang w:eastAsia="en-US"/>
        </w:rPr>
      </w:pPr>
      <w:r w:rsidRPr="003C3367">
        <w:rPr>
          <w:rFonts w:eastAsia="Calibri"/>
          <w:bCs/>
          <w:lang w:eastAsia="en-US"/>
        </w:rPr>
        <w:lastRenderedPageBreak/>
        <w:t>Il rapporto di utenza si esplica sia all’interno dell’Agenzia (tra Aree), sia all’esterno; gli attori esterni possono essere ricondotti alle seguenti categorie:</w:t>
      </w:r>
    </w:p>
    <w:p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t>fonte erogante: UE, Stato e Regione Calabria;</w:t>
      </w:r>
    </w:p>
    <w:p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t>fornitori dei servizi: AGEA, CAA;</w:t>
      </w:r>
    </w:p>
    <w:p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t>beneficiari dei fondi: imprese agricole regionali;</w:t>
      </w:r>
    </w:p>
    <w:p w:rsidR="000E5F07" w:rsidRPr="00E63330" w:rsidRDefault="0096592E" w:rsidP="002A60AA">
      <w:pPr>
        <w:pStyle w:val="NormaleWeb"/>
        <w:numPr>
          <w:ilvl w:val="0"/>
          <w:numId w:val="4"/>
        </w:numPr>
        <w:spacing w:line="360" w:lineRule="auto"/>
        <w:ind w:left="709" w:hanging="425"/>
        <w:jc w:val="both"/>
        <w:rPr>
          <w:rFonts w:eastAsia="Calibri"/>
          <w:bCs/>
          <w:lang w:eastAsia="en-US"/>
        </w:rPr>
      </w:pPr>
      <w:r w:rsidRPr="003C3367">
        <w:rPr>
          <w:rFonts w:eastAsia="Calibri"/>
          <w:bCs/>
          <w:lang w:eastAsia="en-US"/>
        </w:rPr>
        <w:t xml:space="preserve">controllori: revisori esterni e società di certificazione, oltre ai finanziatori stessi (UE, Stato e Regione Calabria). </w:t>
      </w:r>
    </w:p>
    <w:p w:rsidR="00183AF6" w:rsidRPr="00E63330" w:rsidRDefault="0096592E" w:rsidP="008F03FD">
      <w:pPr>
        <w:pStyle w:val="Titolo2"/>
        <w:spacing w:after="120"/>
      </w:pPr>
      <w:bookmarkStart w:id="30" w:name="_Toc1046939"/>
      <w:r w:rsidRPr="003C3367">
        <w:t>Il riconoscimento quale Organismo Pagatore Regionale</w:t>
      </w:r>
      <w:bookmarkEnd w:id="30"/>
    </w:p>
    <w:p w:rsidR="00BE3B4D" w:rsidRPr="00E63330" w:rsidRDefault="0096592E" w:rsidP="008F03FD">
      <w:pPr>
        <w:spacing w:after="120"/>
        <w:jc w:val="both"/>
        <w:rPr>
          <w:rFonts w:ascii="Times New Roman" w:hAnsi="Times New Roman"/>
          <w:bCs/>
          <w:sz w:val="24"/>
          <w:szCs w:val="24"/>
        </w:rPr>
      </w:pPr>
      <w:r>
        <w:rPr>
          <w:rFonts w:ascii="Times New Roman" w:hAnsi="Times New Roman"/>
          <w:bCs/>
          <w:sz w:val="24"/>
          <w:szCs w:val="24"/>
        </w:rPr>
        <w:t xml:space="preserve">L’ARCEA, per svolgere adeguatamente i propri compiti d’Istituto, ha dovuto affrontare e superare un difficile processo di accreditamento da parte del </w:t>
      </w:r>
      <w:r w:rsidR="0074533F">
        <w:rPr>
          <w:rFonts w:ascii="Times New Roman" w:hAnsi="Times New Roman"/>
          <w:bCs/>
          <w:sz w:val="24"/>
          <w:szCs w:val="24"/>
        </w:rPr>
        <w:t>MIPAAFT</w:t>
      </w:r>
      <w:r>
        <w:rPr>
          <w:rFonts w:ascii="Times New Roman" w:hAnsi="Times New Roman"/>
          <w:bCs/>
          <w:sz w:val="24"/>
          <w:szCs w:val="24"/>
        </w:rPr>
        <w:t xml:space="preserve">, che, basato su nuove regole introdotte nel 2007 da un apposito Decreto Ministeriale del </w:t>
      </w:r>
      <w:r w:rsidR="0074533F">
        <w:rPr>
          <w:rFonts w:ascii="Times New Roman" w:hAnsi="Times New Roman"/>
          <w:bCs/>
          <w:sz w:val="24"/>
          <w:szCs w:val="24"/>
        </w:rPr>
        <w:t>MIPAAFT</w:t>
      </w:r>
      <w:r>
        <w:rPr>
          <w:rFonts w:ascii="Times New Roman" w:hAnsi="Times New Roman"/>
          <w:bCs/>
          <w:sz w:val="24"/>
          <w:szCs w:val="24"/>
        </w:rPr>
        <w:t xml:space="preserve">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BE3B4D" w:rsidRPr="00E63330" w:rsidRDefault="0096592E"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rsidR="00712E45" w:rsidRPr="00E63330" w:rsidRDefault="00712E45" w:rsidP="00BE3B4D">
      <w:pPr>
        <w:autoSpaceDE w:val="0"/>
        <w:autoSpaceDN w:val="0"/>
        <w:adjustRightInd w:val="0"/>
        <w:jc w:val="both"/>
        <w:rPr>
          <w:rFonts w:ascii="Times New Roman" w:hAnsi="Times New Roman"/>
          <w:bCs/>
          <w:sz w:val="24"/>
          <w:szCs w:val="24"/>
        </w:rPr>
      </w:pPr>
    </w:p>
    <w:p w:rsidR="00AB51A0" w:rsidRPr="00E63330" w:rsidRDefault="00AB51A0" w:rsidP="00BE3B4D">
      <w:pPr>
        <w:autoSpaceDE w:val="0"/>
        <w:autoSpaceDN w:val="0"/>
        <w:adjustRightInd w:val="0"/>
        <w:jc w:val="both"/>
        <w:rPr>
          <w:rFonts w:ascii="Times New Roman" w:hAnsi="Times New Roman"/>
          <w:bCs/>
          <w:sz w:val="2"/>
          <w:szCs w:val="24"/>
        </w:rPr>
      </w:pPr>
    </w:p>
    <w:p w:rsidR="00183AF6" w:rsidRPr="00E63330" w:rsidRDefault="0096592E" w:rsidP="008F03FD">
      <w:pPr>
        <w:pStyle w:val="Titolo2"/>
        <w:spacing w:after="120"/>
      </w:pPr>
      <w:bookmarkStart w:id="31" w:name="_Toc1046940"/>
      <w:r w:rsidRPr="003C3367">
        <w:t>Le erogazioni di risorse effettuati dall’ARCEA in relazione all’attuazione della PAC</w:t>
      </w:r>
      <w:bookmarkEnd w:id="31"/>
    </w:p>
    <w:p w:rsidR="00B5066C" w:rsidRPr="00E63330" w:rsidRDefault="0096592E" w:rsidP="008F03FD">
      <w:pPr>
        <w:autoSpaceDE w:val="0"/>
        <w:autoSpaceDN w:val="0"/>
        <w:adjustRightInd w:val="0"/>
        <w:spacing w:after="120"/>
        <w:jc w:val="both"/>
        <w:rPr>
          <w:rFonts w:ascii="Times New Roman" w:hAnsi="Times New Roman"/>
          <w:bCs/>
          <w:sz w:val="24"/>
          <w:szCs w:val="24"/>
        </w:rPr>
      </w:pPr>
      <w:bookmarkStart w:id="32" w:name="OLE_LINK198"/>
      <w:bookmarkStart w:id="33" w:name="OLE_LINK199"/>
      <w:bookmarkStart w:id="34" w:name="OLE_LINK200"/>
      <w:r>
        <w:rPr>
          <w:rFonts w:ascii="Times New Roman" w:hAnsi="Times New Roman"/>
          <w:bCs/>
          <w:sz w:val="24"/>
          <w:szCs w:val="24"/>
        </w:rPr>
        <w:t>Di seguito si riportano i dati relativi all'ammontare dei pagamenti effettuati dall’ARCEA negli ultimi 5 anni con riferimento ai Fondi “FEAGA” e “FEASR”: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9"/>
        <w:gridCol w:w="1488"/>
        <w:gridCol w:w="2032"/>
        <w:gridCol w:w="1725"/>
        <w:gridCol w:w="1725"/>
        <w:gridCol w:w="1723"/>
      </w:tblGrid>
      <w:tr w:rsidR="00113F93" w:rsidRPr="00E63330" w:rsidTr="003C3367">
        <w:trPr>
          <w:trHeight w:val="272"/>
        </w:trPr>
        <w:tc>
          <w:tcPr>
            <w:tcW w:w="525" w:type="pct"/>
            <w:vAlign w:val="center"/>
          </w:tcPr>
          <w:p w:rsidR="00113F93" w:rsidRPr="00E63330" w:rsidRDefault="0096592E" w:rsidP="00B61F99">
            <w:pPr>
              <w:autoSpaceDE w:val="0"/>
              <w:autoSpaceDN w:val="0"/>
              <w:adjustRightInd w:val="0"/>
              <w:spacing w:after="0"/>
              <w:jc w:val="center"/>
              <w:rPr>
                <w:rFonts w:ascii="Times New Roman" w:hAnsi="Times New Roman"/>
                <w:b/>
                <w:bCs/>
                <w:sz w:val="16"/>
                <w:szCs w:val="16"/>
              </w:rPr>
            </w:pPr>
            <w:bookmarkStart w:id="35" w:name="_Hlk441481163"/>
            <w:r>
              <w:rPr>
                <w:rFonts w:ascii="Times New Roman" w:hAnsi="Times New Roman"/>
                <w:b/>
                <w:bCs/>
                <w:sz w:val="16"/>
                <w:szCs w:val="16"/>
              </w:rPr>
              <w:t>Fondo</w:t>
            </w:r>
          </w:p>
        </w:tc>
        <w:tc>
          <w:tcPr>
            <w:tcW w:w="766" w:type="pct"/>
            <w:vAlign w:val="center"/>
          </w:tcPr>
          <w:p w:rsidR="00113F93" w:rsidRPr="00E63330" w:rsidRDefault="0096592E" w:rsidP="00B61F99">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Campagna2014*</w:t>
            </w:r>
          </w:p>
        </w:tc>
        <w:tc>
          <w:tcPr>
            <w:tcW w:w="1046" w:type="pct"/>
            <w:vAlign w:val="center"/>
          </w:tcPr>
          <w:p w:rsidR="00113F93" w:rsidRPr="00E63330" w:rsidRDefault="0096592E" w:rsidP="00B61F99">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Campagna2015*</w:t>
            </w:r>
          </w:p>
        </w:tc>
        <w:tc>
          <w:tcPr>
            <w:tcW w:w="888" w:type="pct"/>
            <w:vAlign w:val="center"/>
          </w:tcPr>
          <w:p w:rsidR="00113F93" w:rsidRPr="00E63330" w:rsidRDefault="0096592E" w:rsidP="00135AB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2016*</w:t>
            </w:r>
          </w:p>
        </w:tc>
        <w:tc>
          <w:tcPr>
            <w:tcW w:w="888" w:type="pct"/>
            <w:vAlign w:val="center"/>
          </w:tcPr>
          <w:p w:rsidR="00113F93" w:rsidRPr="00E63330" w:rsidRDefault="0096592E" w:rsidP="00A52606">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2017*</w:t>
            </w:r>
          </w:p>
        </w:tc>
        <w:tc>
          <w:tcPr>
            <w:tcW w:w="887" w:type="pct"/>
          </w:tcPr>
          <w:p w:rsidR="00113F93" w:rsidRPr="00E63330" w:rsidRDefault="0096592E" w:rsidP="00113F9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2018</w:t>
            </w:r>
            <w:r w:rsidR="00A52606">
              <w:rPr>
                <w:rFonts w:ascii="Times New Roman" w:hAnsi="Times New Roman"/>
                <w:b/>
                <w:bCs/>
                <w:sz w:val="16"/>
                <w:szCs w:val="16"/>
              </w:rPr>
              <w:t>**</w:t>
            </w:r>
          </w:p>
        </w:tc>
      </w:tr>
      <w:bookmarkEnd w:id="35"/>
      <w:tr w:rsidR="00113F93" w:rsidRPr="00E63330" w:rsidTr="003C3367">
        <w:tc>
          <w:tcPr>
            <w:tcW w:w="525" w:type="pct"/>
            <w:vAlign w:val="center"/>
          </w:tcPr>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FEAGA</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(Domanda Unica)</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“A”</w:t>
            </w:r>
          </w:p>
        </w:tc>
        <w:tc>
          <w:tcPr>
            <w:tcW w:w="766" w:type="pct"/>
            <w:vAlign w:val="center"/>
          </w:tcPr>
          <w:p w:rsidR="0074533F"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264.824.883,75</w:t>
            </w:r>
          </w:p>
        </w:tc>
        <w:tc>
          <w:tcPr>
            <w:tcW w:w="1046" w:type="pct"/>
            <w:vAlign w:val="center"/>
          </w:tcPr>
          <w:p w:rsidR="0074533F"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230.400.442,50</w:t>
            </w:r>
          </w:p>
        </w:tc>
        <w:tc>
          <w:tcPr>
            <w:tcW w:w="888" w:type="pct"/>
            <w:vAlign w:val="center"/>
          </w:tcPr>
          <w:p w:rsidR="0074533F"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242.839.846,27</w:t>
            </w:r>
          </w:p>
        </w:tc>
        <w:tc>
          <w:tcPr>
            <w:tcW w:w="888" w:type="pct"/>
            <w:vAlign w:val="center"/>
          </w:tcPr>
          <w:p w:rsidR="0074533F"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223.984.472,97</w:t>
            </w:r>
          </w:p>
        </w:tc>
        <w:tc>
          <w:tcPr>
            <w:tcW w:w="887" w:type="pct"/>
            <w:vAlign w:val="center"/>
          </w:tcPr>
          <w:p w:rsidR="0074533F"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rsidR="00113F93"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148.217.465,26</w:t>
            </w:r>
          </w:p>
          <w:p w:rsidR="00D87AAC" w:rsidRPr="00E63330" w:rsidRDefault="0096592E"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(PARZIALE)</w:t>
            </w:r>
          </w:p>
        </w:tc>
      </w:tr>
    </w:tbl>
    <w:p w:rsidR="0088727C"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sz w:val="24"/>
          <w:szCs w:val="24"/>
        </w:rPr>
        <w:t xml:space="preserve">* </w:t>
      </w:r>
      <w:r>
        <w:rPr>
          <w:rFonts w:ascii="Times New Roman" w:hAnsi="Times New Roman"/>
          <w:bCs/>
          <w:i/>
          <w:sz w:val="20"/>
          <w:szCs w:val="20"/>
        </w:rPr>
        <w:t>La Campagna comprende un arco temporale che va dal 16 ottobre di ciascun anno al 30 giugno dell’anno successivo</w:t>
      </w:r>
    </w:p>
    <w:p w:rsidR="006B52D2"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i/>
          <w:sz w:val="20"/>
          <w:szCs w:val="20"/>
        </w:rPr>
        <w:t>** Comprende i decreti pagati dal 16</w:t>
      </w:r>
      <w:r w:rsidR="00A52606">
        <w:rPr>
          <w:rFonts w:ascii="Times New Roman" w:hAnsi="Times New Roman"/>
          <w:bCs/>
          <w:i/>
          <w:sz w:val="20"/>
          <w:szCs w:val="20"/>
        </w:rPr>
        <w:t xml:space="preserve"> ottobre  2018 al 31 dicembre 2018</w:t>
      </w:r>
    </w:p>
    <w:p w:rsidR="0088727C" w:rsidRPr="00E63330" w:rsidRDefault="0088727C" w:rsidP="000B464C">
      <w:pPr>
        <w:autoSpaceDE w:val="0"/>
        <w:autoSpaceDN w:val="0"/>
        <w:adjustRightInd w:val="0"/>
        <w:jc w:val="both"/>
        <w:rPr>
          <w:rFonts w:ascii="Times New Roman" w:hAnsi="Times New Roman"/>
          <w:bCs/>
          <w:sz w:val="2"/>
          <w:szCs w:val="24"/>
        </w:rPr>
      </w:pP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489"/>
        <w:gridCol w:w="1675"/>
        <w:gridCol w:w="1675"/>
        <w:gridCol w:w="1675"/>
        <w:gridCol w:w="1675"/>
      </w:tblGrid>
      <w:tr w:rsidR="00113F93" w:rsidRPr="0074533F" w:rsidTr="003C3367">
        <w:tc>
          <w:tcPr>
            <w:tcW w:w="0" w:type="auto"/>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590BFC">
              <w:rPr>
                <w:rFonts w:ascii="Times New Roman" w:hAnsi="Times New Roman"/>
                <w:b/>
                <w:bCs/>
                <w:sz w:val="16"/>
                <w:szCs w:val="16"/>
              </w:rPr>
              <w:t>Fondo</w:t>
            </w:r>
          </w:p>
        </w:tc>
        <w:tc>
          <w:tcPr>
            <w:tcW w:w="0" w:type="auto"/>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2014</w:t>
            </w:r>
          </w:p>
        </w:tc>
        <w:tc>
          <w:tcPr>
            <w:tcW w:w="1675" w:type="dxa"/>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2015</w:t>
            </w:r>
          </w:p>
        </w:tc>
        <w:tc>
          <w:tcPr>
            <w:tcW w:w="1675" w:type="dxa"/>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2016</w:t>
            </w:r>
          </w:p>
        </w:tc>
        <w:tc>
          <w:tcPr>
            <w:tcW w:w="1675" w:type="dxa"/>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2017</w:t>
            </w:r>
          </w:p>
        </w:tc>
        <w:tc>
          <w:tcPr>
            <w:tcW w:w="1675" w:type="dxa"/>
            <w:tcBorders>
              <w:bottom w:val="single" w:sz="4" w:space="0" w:color="000000"/>
            </w:tcBorders>
            <w:vAlign w:val="center"/>
          </w:tcPr>
          <w:p w:rsidR="00113F93" w:rsidRPr="0074533F" w:rsidRDefault="0096592E"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2018</w:t>
            </w:r>
          </w:p>
        </w:tc>
      </w:tr>
      <w:tr w:rsidR="00113F93" w:rsidRPr="0074533F" w:rsidTr="003C3367">
        <w:tc>
          <w:tcPr>
            <w:tcW w:w="0" w:type="auto"/>
            <w:tcBorders>
              <w:bottom w:val="single" w:sz="4" w:space="0" w:color="000000"/>
            </w:tcBorders>
            <w:vAlign w:val="center"/>
          </w:tcPr>
          <w:p w:rsidR="00113F93" w:rsidRPr="0074533F" w:rsidRDefault="0096592E" w:rsidP="0074533F">
            <w:pPr>
              <w:autoSpaceDE w:val="0"/>
              <w:autoSpaceDN w:val="0"/>
              <w:adjustRightInd w:val="0"/>
              <w:spacing w:after="0"/>
              <w:jc w:val="center"/>
              <w:rPr>
                <w:rFonts w:ascii="Times New Roman" w:hAnsi="Times New Roman"/>
                <w:bCs/>
                <w:sz w:val="16"/>
                <w:szCs w:val="16"/>
              </w:rPr>
            </w:pPr>
            <w:r w:rsidRPr="00590BFC">
              <w:rPr>
                <w:rFonts w:ascii="Times New Roman" w:hAnsi="Times New Roman"/>
                <w:bCs/>
                <w:sz w:val="16"/>
                <w:szCs w:val="16"/>
              </w:rPr>
              <w:t>FEASR</w:t>
            </w:r>
          </w:p>
          <w:p w:rsidR="00113F93" w:rsidRPr="0074533F" w:rsidRDefault="0096592E" w:rsidP="0074533F">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(Sviluppo Rurale)</w:t>
            </w:r>
          </w:p>
          <w:p w:rsidR="00113F93" w:rsidRPr="0074533F" w:rsidRDefault="0096592E" w:rsidP="0074533F">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“B”</w:t>
            </w:r>
          </w:p>
        </w:tc>
        <w:tc>
          <w:tcPr>
            <w:tcW w:w="0" w:type="auto"/>
            <w:tcBorders>
              <w:bottom w:val="single" w:sz="4" w:space="0" w:color="000000"/>
            </w:tcBorders>
            <w:vAlign w:val="center"/>
          </w:tcPr>
          <w:p w:rsidR="00113F93" w:rsidRPr="0074533F" w:rsidRDefault="0096592E" w:rsidP="0074533F">
            <w:pPr>
              <w:autoSpaceDE w:val="0"/>
              <w:autoSpaceDN w:val="0"/>
              <w:adjustRightInd w:val="0"/>
              <w:spacing w:after="0"/>
              <w:jc w:val="center"/>
              <w:rPr>
                <w:rFonts w:ascii="Times New Roman" w:hAnsi="Times New Roman"/>
                <w:bCs/>
                <w:caps/>
                <w:sz w:val="16"/>
                <w:szCs w:val="16"/>
              </w:rPr>
            </w:pPr>
            <w:r w:rsidRPr="0074533F">
              <w:rPr>
                <w:rFonts w:ascii="Times New Roman" w:hAnsi="Times New Roman"/>
                <w:bCs/>
                <w:sz w:val="16"/>
                <w:szCs w:val="16"/>
              </w:rPr>
              <w:t>€ 150.698.096,16</w:t>
            </w:r>
          </w:p>
        </w:tc>
        <w:tc>
          <w:tcPr>
            <w:tcW w:w="1675" w:type="dxa"/>
            <w:tcBorders>
              <w:bottom w:val="single" w:sz="4" w:space="0" w:color="000000"/>
            </w:tcBorders>
            <w:vAlign w:val="center"/>
          </w:tcPr>
          <w:p w:rsidR="0074533F" w:rsidRDefault="0096592E"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rsidR="00113F93" w:rsidRPr="0074533F" w:rsidRDefault="0096592E" w:rsidP="0074533F">
            <w:pPr>
              <w:spacing w:after="0"/>
              <w:jc w:val="center"/>
              <w:rPr>
                <w:rFonts w:ascii="Times New Roman" w:hAnsi="Times New Roman"/>
                <w:bCs/>
                <w:sz w:val="16"/>
                <w:szCs w:val="16"/>
              </w:rPr>
            </w:pPr>
            <w:r w:rsidRPr="00590BFC">
              <w:rPr>
                <w:rFonts w:ascii="Times New Roman" w:hAnsi="Times New Roman"/>
                <w:bCs/>
                <w:sz w:val="16"/>
                <w:szCs w:val="16"/>
              </w:rPr>
              <w:t>197.018</w:t>
            </w:r>
            <w:r w:rsidRPr="0074533F">
              <w:rPr>
                <w:rFonts w:ascii="Times New Roman" w:hAnsi="Times New Roman"/>
                <w:bCs/>
                <w:sz w:val="16"/>
                <w:szCs w:val="16"/>
              </w:rPr>
              <w:t>.539,14</w:t>
            </w:r>
          </w:p>
        </w:tc>
        <w:tc>
          <w:tcPr>
            <w:tcW w:w="1675" w:type="dxa"/>
            <w:tcBorders>
              <w:bottom w:val="single" w:sz="4" w:space="0" w:color="000000"/>
            </w:tcBorders>
            <w:vAlign w:val="center"/>
          </w:tcPr>
          <w:p w:rsidR="0074533F" w:rsidRDefault="0096592E"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rsidR="00113F93" w:rsidRPr="0074533F" w:rsidRDefault="0096592E" w:rsidP="0074533F">
            <w:pPr>
              <w:spacing w:after="0"/>
              <w:jc w:val="center"/>
              <w:rPr>
                <w:rFonts w:ascii="Times New Roman" w:hAnsi="Times New Roman"/>
                <w:bCs/>
                <w:sz w:val="16"/>
                <w:szCs w:val="16"/>
              </w:rPr>
            </w:pPr>
            <w:r w:rsidRPr="00590BFC">
              <w:rPr>
                <w:rFonts w:ascii="Times New Roman" w:hAnsi="Times New Roman"/>
                <w:bCs/>
                <w:sz w:val="16"/>
                <w:szCs w:val="16"/>
              </w:rPr>
              <w:t>81.012.333,48</w:t>
            </w:r>
          </w:p>
        </w:tc>
        <w:tc>
          <w:tcPr>
            <w:tcW w:w="1675" w:type="dxa"/>
            <w:tcBorders>
              <w:bottom w:val="single" w:sz="4" w:space="0" w:color="000000"/>
            </w:tcBorders>
            <w:vAlign w:val="center"/>
          </w:tcPr>
          <w:p w:rsidR="0074533F" w:rsidRDefault="0074533F" w:rsidP="0074533F">
            <w:pPr>
              <w:spacing w:after="0"/>
              <w:jc w:val="center"/>
              <w:rPr>
                <w:rFonts w:ascii="Times New Roman" w:hAnsi="Times New Roman"/>
                <w:bCs/>
                <w:sz w:val="16"/>
                <w:szCs w:val="16"/>
              </w:rPr>
            </w:pPr>
            <w:r w:rsidRPr="0074533F">
              <w:rPr>
                <w:rFonts w:ascii="Times New Roman" w:hAnsi="Times New Roman"/>
                <w:bCs/>
                <w:sz w:val="16"/>
                <w:szCs w:val="16"/>
              </w:rPr>
              <w:t>€</w:t>
            </w:r>
            <w:r>
              <w:rPr>
                <w:rFonts w:ascii="Times New Roman" w:hAnsi="Times New Roman"/>
                <w:bCs/>
                <w:sz w:val="16"/>
                <w:szCs w:val="16"/>
              </w:rPr>
              <w:t xml:space="preserve"> </w:t>
            </w:r>
          </w:p>
          <w:p w:rsidR="00113F93" w:rsidRPr="0074533F" w:rsidRDefault="0096592E" w:rsidP="0074533F">
            <w:pPr>
              <w:spacing w:after="0"/>
              <w:jc w:val="center"/>
              <w:rPr>
                <w:rFonts w:ascii="Times New Roman" w:hAnsi="Times New Roman"/>
                <w:bCs/>
                <w:sz w:val="16"/>
                <w:szCs w:val="16"/>
              </w:rPr>
            </w:pPr>
            <w:r w:rsidRPr="00590BFC">
              <w:rPr>
                <w:rFonts w:ascii="Times New Roman" w:hAnsi="Times New Roman"/>
                <w:bCs/>
                <w:sz w:val="16"/>
                <w:szCs w:val="16"/>
              </w:rPr>
              <w:t>119.600.890,48</w:t>
            </w:r>
          </w:p>
        </w:tc>
        <w:tc>
          <w:tcPr>
            <w:tcW w:w="1675" w:type="dxa"/>
            <w:tcBorders>
              <w:bottom w:val="single" w:sz="4" w:space="0" w:color="000000"/>
            </w:tcBorders>
            <w:vAlign w:val="center"/>
          </w:tcPr>
          <w:p w:rsidR="0074533F" w:rsidRDefault="0096592E"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rsidR="00113F93" w:rsidRPr="0074533F" w:rsidRDefault="0096592E" w:rsidP="0074533F">
            <w:pPr>
              <w:spacing w:after="0"/>
              <w:jc w:val="center"/>
              <w:rPr>
                <w:rFonts w:ascii="Times New Roman" w:hAnsi="Times New Roman"/>
                <w:bCs/>
                <w:sz w:val="16"/>
                <w:szCs w:val="16"/>
              </w:rPr>
            </w:pPr>
            <w:r w:rsidRPr="00590BFC">
              <w:rPr>
                <w:rFonts w:ascii="Times New Roman" w:hAnsi="Times New Roman"/>
                <w:bCs/>
                <w:sz w:val="16"/>
                <w:szCs w:val="16"/>
              </w:rPr>
              <w:t>190.124.779,51</w:t>
            </w:r>
          </w:p>
        </w:tc>
      </w:tr>
      <w:tr w:rsidR="00113F93" w:rsidRPr="0074533F" w:rsidTr="003C3367">
        <w:trPr>
          <w:trHeight w:val="92"/>
        </w:trPr>
        <w:tc>
          <w:tcPr>
            <w:tcW w:w="0" w:type="auto"/>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spacing w:after="0"/>
              <w:jc w:val="center"/>
              <w:rPr>
                <w:rFonts w:ascii="Times New Roman" w:hAnsi="Times New Roman"/>
                <w:bCs/>
                <w:sz w:val="16"/>
                <w:szCs w:val="16"/>
              </w:rPr>
            </w:pPr>
          </w:p>
        </w:tc>
        <w:tc>
          <w:tcPr>
            <w:tcW w:w="0" w:type="auto"/>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jc w:val="center"/>
              <w:rPr>
                <w:rFonts w:ascii="Times New Roman" w:hAnsi="Times New Roman"/>
                <w:bCs/>
                <w:caps/>
                <w:sz w:val="16"/>
                <w:szCs w:val="16"/>
              </w:rPr>
            </w:pPr>
          </w:p>
        </w:tc>
        <w:tc>
          <w:tcPr>
            <w:tcW w:w="1675" w:type="dxa"/>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jc w:val="center"/>
              <w:rPr>
                <w:rFonts w:ascii="Times New Roman" w:hAnsi="Times New Roman"/>
                <w:bCs/>
                <w:caps/>
                <w:sz w:val="16"/>
                <w:szCs w:val="16"/>
              </w:rPr>
            </w:pPr>
          </w:p>
        </w:tc>
        <w:tc>
          <w:tcPr>
            <w:tcW w:w="1675" w:type="dxa"/>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jc w:val="center"/>
              <w:rPr>
                <w:rFonts w:ascii="Times New Roman" w:hAnsi="Times New Roman"/>
                <w:bCs/>
                <w:caps/>
                <w:sz w:val="16"/>
                <w:szCs w:val="16"/>
              </w:rPr>
            </w:pPr>
          </w:p>
        </w:tc>
        <w:tc>
          <w:tcPr>
            <w:tcW w:w="1675" w:type="dxa"/>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jc w:val="center"/>
              <w:rPr>
                <w:rFonts w:ascii="Times New Roman" w:hAnsi="Times New Roman"/>
                <w:bCs/>
                <w:caps/>
                <w:sz w:val="16"/>
                <w:szCs w:val="16"/>
              </w:rPr>
            </w:pPr>
          </w:p>
        </w:tc>
        <w:tc>
          <w:tcPr>
            <w:tcW w:w="1675" w:type="dxa"/>
            <w:tcBorders>
              <w:top w:val="single" w:sz="4" w:space="0" w:color="000000"/>
              <w:left w:val="nil"/>
              <w:bottom w:val="single" w:sz="4" w:space="0" w:color="000000"/>
              <w:right w:val="nil"/>
            </w:tcBorders>
            <w:vAlign w:val="center"/>
          </w:tcPr>
          <w:p w:rsidR="00113F93" w:rsidRPr="0074533F" w:rsidRDefault="00113F93" w:rsidP="0074533F">
            <w:pPr>
              <w:autoSpaceDE w:val="0"/>
              <w:autoSpaceDN w:val="0"/>
              <w:adjustRightInd w:val="0"/>
              <w:jc w:val="center"/>
              <w:rPr>
                <w:rFonts w:ascii="Times New Roman" w:hAnsi="Times New Roman"/>
                <w:bCs/>
                <w:caps/>
                <w:sz w:val="16"/>
                <w:szCs w:val="16"/>
              </w:rPr>
            </w:pPr>
          </w:p>
        </w:tc>
      </w:tr>
      <w:tr w:rsidR="00113F93" w:rsidRPr="0074533F" w:rsidTr="003C3367">
        <w:tc>
          <w:tcPr>
            <w:tcW w:w="0" w:type="auto"/>
            <w:tcBorders>
              <w:top w:val="single" w:sz="4" w:space="0" w:color="000000"/>
            </w:tcBorders>
            <w:vAlign w:val="center"/>
          </w:tcPr>
          <w:p w:rsidR="00113F93" w:rsidRPr="0074533F" w:rsidRDefault="0096592E" w:rsidP="0074533F">
            <w:pPr>
              <w:autoSpaceDE w:val="0"/>
              <w:autoSpaceDN w:val="0"/>
              <w:adjustRightInd w:val="0"/>
              <w:spacing w:after="0"/>
              <w:jc w:val="center"/>
              <w:rPr>
                <w:rFonts w:ascii="Times New Roman" w:hAnsi="Times New Roman"/>
                <w:b/>
                <w:bCs/>
                <w:sz w:val="16"/>
                <w:szCs w:val="16"/>
              </w:rPr>
            </w:pPr>
            <w:bookmarkStart w:id="36" w:name="_Hlk505029952"/>
            <w:r w:rsidRPr="0074533F">
              <w:rPr>
                <w:rFonts w:ascii="Times New Roman" w:hAnsi="Times New Roman"/>
                <w:b/>
                <w:bCs/>
                <w:sz w:val="16"/>
                <w:szCs w:val="16"/>
              </w:rPr>
              <w:t>TOTALE</w:t>
            </w:r>
          </w:p>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(“A” + “B”)</w:t>
            </w:r>
          </w:p>
        </w:tc>
        <w:tc>
          <w:tcPr>
            <w:tcW w:w="0" w:type="auto"/>
            <w:tcBorders>
              <w:top w:val="single" w:sz="4" w:space="0" w:color="000000"/>
            </w:tcBorders>
            <w:vAlign w:val="center"/>
          </w:tcPr>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€ 415.522.979,91</w:t>
            </w:r>
          </w:p>
        </w:tc>
        <w:tc>
          <w:tcPr>
            <w:tcW w:w="1675" w:type="dxa"/>
            <w:tcBorders>
              <w:top w:val="single" w:sz="4" w:space="0" w:color="000000"/>
            </w:tcBorders>
            <w:vAlign w:val="center"/>
          </w:tcPr>
          <w:p w:rsid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w:t>
            </w:r>
          </w:p>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301.770.056,97</w:t>
            </w:r>
          </w:p>
        </w:tc>
        <w:tc>
          <w:tcPr>
            <w:tcW w:w="1675" w:type="dxa"/>
            <w:tcBorders>
              <w:top w:val="single" w:sz="4" w:space="0" w:color="000000"/>
            </w:tcBorders>
            <w:vAlign w:val="center"/>
          </w:tcPr>
          <w:p w:rsid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w:t>
            </w:r>
          </w:p>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212.049.714,23</w:t>
            </w:r>
          </w:p>
        </w:tc>
        <w:tc>
          <w:tcPr>
            <w:tcW w:w="1675" w:type="dxa"/>
            <w:tcBorders>
              <w:top w:val="single" w:sz="4" w:space="0" w:color="000000"/>
            </w:tcBorders>
            <w:vAlign w:val="center"/>
          </w:tcPr>
          <w:p w:rsidR="0074533F" w:rsidRPr="0074533F" w:rsidRDefault="0096592E" w:rsidP="0074533F">
            <w:pPr>
              <w:autoSpaceDE w:val="0"/>
              <w:autoSpaceDN w:val="0"/>
              <w:adjustRightInd w:val="0"/>
              <w:spacing w:after="0"/>
              <w:jc w:val="center"/>
              <w:rPr>
                <w:rFonts w:ascii="Times New Roman" w:eastAsia="Times New Roman" w:hAnsi="Times New Roman"/>
                <w:b/>
                <w:color w:val="000000"/>
                <w:sz w:val="16"/>
                <w:szCs w:val="16"/>
                <w:lang w:eastAsia="it-IT"/>
              </w:rPr>
            </w:pPr>
            <w:r w:rsidRPr="003C3367">
              <w:rPr>
                <w:rFonts w:ascii="Times New Roman" w:eastAsia="Times New Roman" w:hAnsi="Times New Roman"/>
                <w:b/>
                <w:color w:val="000000"/>
                <w:sz w:val="16"/>
                <w:szCs w:val="16"/>
                <w:lang w:eastAsia="it-IT"/>
              </w:rPr>
              <w:t>€</w:t>
            </w:r>
          </w:p>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3C3367">
              <w:rPr>
                <w:rFonts w:ascii="Times New Roman" w:eastAsia="Times New Roman" w:hAnsi="Times New Roman"/>
                <w:b/>
                <w:color w:val="000000"/>
                <w:sz w:val="16"/>
                <w:szCs w:val="16"/>
                <w:lang w:eastAsia="it-IT"/>
              </w:rPr>
              <w:t>343.585.363,45</w:t>
            </w:r>
          </w:p>
        </w:tc>
        <w:tc>
          <w:tcPr>
            <w:tcW w:w="1675" w:type="dxa"/>
            <w:tcBorders>
              <w:top w:val="single" w:sz="4" w:space="0" w:color="000000"/>
            </w:tcBorders>
            <w:vAlign w:val="center"/>
          </w:tcPr>
          <w:p w:rsidR="0074533F" w:rsidRPr="0074533F" w:rsidRDefault="0096592E" w:rsidP="0074533F">
            <w:pPr>
              <w:spacing w:after="0" w:line="240" w:lineRule="auto"/>
              <w:jc w:val="center"/>
              <w:rPr>
                <w:rFonts w:ascii="Times New Roman" w:eastAsia="Times New Roman" w:hAnsi="Times New Roman"/>
                <w:b/>
                <w:color w:val="000000"/>
                <w:sz w:val="16"/>
                <w:szCs w:val="16"/>
                <w:lang w:eastAsia="it-IT"/>
              </w:rPr>
            </w:pPr>
            <w:r w:rsidRPr="003C3367">
              <w:rPr>
                <w:rFonts w:ascii="Times New Roman" w:eastAsia="Times New Roman" w:hAnsi="Times New Roman"/>
                <w:b/>
                <w:color w:val="000000"/>
                <w:sz w:val="16"/>
                <w:szCs w:val="16"/>
                <w:lang w:eastAsia="it-IT"/>
              </w:rPr>
              <w:t>€</w:t>
            </w:r>
          </w:p>
          <w:p w:rsidR="007A2780" w:rsidRPr="003C3367" w:rsidRDefault="0096592E" w:rsidP="0074533F">
            <w:pPr>
              <w:spacing w:after="0" w:line="240" w:lineRule="auto"/>
              <w:jc w:val="center"/>
              <w:rPr>
                <w:rFonts w:ascii="Times New Roman" w:eastAsia="Times New Roman" w:hAnsi="Times New Roman"/>
                <w:b/>
                <w:color w:val="000000"/>
                <w:sz w:val="16"/>
                <w:szCs w:val="16"/>
                <w:lang w:eastAsia="it-IT"/>
              </w:rPr>
            </w:pPr>
            <w:r w:rsidRPr="003C3367">
              <w:rPr>
                <w:rFonts w:ascii="Times New Roman" w:eastAsia="Times New Roman" w:hAnsi="Times New Roman"/>
                <w:b/>
                <w:color w:val="000000"/>
                <w:sz w:val="16"/>
                <w:szCs w:val="16"/>
                <w:lang w:eastAsia="it-IT"/>
              </w:rPr>
              <w:t>338.342.244,77</w:t>
            </w:r>
          </w:p>
          <w:p w:rsidR="00113F93" w:rsidRPr="0074533F" w:rsidRDefault="0096592E"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(PARZ</w:t>
            </w:r>
            <w:r w:rsidR="0074533F" w:rsidRPr="0074533F">
              <w:rPr>
                <w:rFonts w:ascii="Times New Roman" w:hAnsi="Times New Roman"/>
                <w:b/>
                <w:bCs/>
                <w:sz w:val="16"/>
                <w:szCs w:val="16"/>
              </w:rPr>
              <w:t>IALE</w:t>
            </w:r>
            <w:r w:rsidRPr="0074533F">
              <w:rPr>
                <w:rFonts w:ascii="Times New Roman" w:hAnsi="Times New Roman"/>
                <w:b/>
                <w:bCs/>
                <w:sz w:val="16"/>
                <w:szCs w:val="16"/>
              </w:rPr>
              <w:t>)</w:t>
            </w:r>
          </w:p>
        </w:tc>
      </w:tr>
      <w:bookmarkEnd w:id="36"/>
    </w:tbl>
    <w:p w:rsidR="0095101D" w:rsidRPr="00E63330" w:rsidRDefault="0095101D" w:rsidP="000B464C">
      <w:pPr>
        <w:autoSpaceDE w:val="0"/>
        <w:autoSpaceDN w:val="0"/>
        <w:adjustRightInd w:val="0"/>
        <w:jc w:val="both"/>
        <w:rPr>
          <w:rFonts w:ascii="Times New Roman" w:hAnsi="Times New Roman"/>
          <w:bCs/>
          <w:i/>
          <w:sz w:val="24"/>
          <w:szCs w:val="24"/>
          <w:u w:val="single"/>
        </w:rPr>
      </w:pPr>
    </w:p>
    <w:p w:rsidR="00CD4CA2" w:rsidRPr="003C3367" w:rsidRDefault="0096592E" w:rsidP="00CD4CA2">
      <w:pPr>
        <w:jc w:val="both"/>
        <w:rPr>
          <w:rFonts w:ascii="Times New Roman" w:hAnsi="Times New Roman"/>
          <w:b/>
          <w:bCs/>
          <w:sz w:val="24"/>
          <w:szCs w:val="24"/>
        </w:rPr>
      </w:pPr>
      <w:r>
        <w:rPr>
          <w:rFonts w:ascii="Times New Roman" w:hAnsi="Times New Roman"/>
          <w:bCs/>
          <w:sz w:val="24"/>
          <w:szCs w:val="24"/>
        </w:rPr>
        <w:t xml:space="preserve">L’ARCEA, pertanto, negli ultimi cinque anni ha erogato complessivamente per i due Fondi FEAGA e FEASR la somma di </w:t>
      </w:r>
      <w:r w:rsidRPr="00590BFC">
        <w:rPr>
          <w:rFonts w:ascii="Times New Roman" w:hAnsi="Times New Roman"/>
          <w:b/>
          <w:bCs/>
          <w:sz w:val="24"/>
          <w:szCs w:val="24"/>
        </w:rPr>
        <w:t>€ 1.611.270.359,33</w:t>
      </w:r>
      <w:r>
        <w:rPr>
          <w:rFonts w:ascii="Times New Roman" w:hAnsi="Times New Roman"/>
          <w:bCs/>
          <w:sz w:val="24"/>
          <w:szCs w:val="24"/>
        </w:rPr>
        <w:t>.</w:t>
      </w:r>
    </w:p>
    <w:bookmarkEnd w:id="32"/>
    <w:bookmarkEnd w:id="33"/>
    <w:bookmarkEnd w:id="34"/>
    <w:p w:rsidR="00890EC4" w:rsidRPr="003C3367" w:rsidRDefault="00890EC4" w:rsidP="00CD4CA2">
      <w:pPr>
        <w:jc w:val="both"/>
        <w:rPr>
          <w:rFonts w:ascii="Times New Roman" w:eastAsia="Times New Roman" w:hAnsi="Times New Roman"/>
          <w:color w:val="000000"/>
          <w:sz w:val="2"/>
          <w:lang w:eastAsia="it-IT"/>
        </w:rPr>
      </w:pPr>
    </w:p>
    <w:p w:rsidR="00DA0C57" w:rsidRPr="00E63330" w:rsidRDefault="0096592E" w:rsidP="00DE3766">
      <w:pPr>
        <w:pStyle w:val="Titolo2"/>
      </w:pPr>
      <w:bookmarkStart w:id="37" w:name="_Toc1046941"/>
      <w:r w:rsidRPr="003C3367">
        <w:t>Elementi caratteristici dell’ARCEA</w:t>
      </w:r>
      <w:bookmarkEnd w:id="37"/>
    </w:p>
    <w:p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L’ARCEA opera nel rispetto esclusivo di regolamenti comunitari e di prassi invalse a livello continentale, sottoponendosi, pertanto, al costante controllo delle Autorità europee e nazionali competenti che verificano la permanenza dei requisiti di riconoscimento quale Organismo Pagatore sulla base di quanto previsto dal Reg. (CE) n. 907/14.</w:t>
      </w:r>
    </w:p>
    <w:p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In particolare l’ARCEA è soggetta a tre livelli di Audit condotti da:</w:t>
      </w:r>
    </w:p>
    <w:p w:rsidR="008E1E2A" w:rsidRPr="00E63330" w:rsidRDefault="0096592E" w:rsidP="003C3367">
      <w:pPr>
        <w:pStyle w:val="NormaleWeb"/>
        <w:numPr>
          <w:ilvl w:val="0"/>
          <w:numId w:val="4"/>
        </w:numPr>
        <w:spacing w:after="0" w:afterAutospacing="0" w:line="360" w:lineRule="auto"/>
        <w:ind w:left="709" w:hanging="425"/>
        <w:jc w:val="both"/>
        <w:rPr>
          <w:bCs/>
        </w:rPr>
      </w:pPr>
      <w:r w:rsidRPr="003C3367">
        <w:rPr>
          <w:bCs/>
        </w:rPr>
        <w:t>Commissione Europea;</w:t>
      </w:r>
    </w:p>
    <w:p w:rsidR="008E1E2A" w:rsidRPr="00E63330" w:rsidRDefault="0096592E" w:rsidP="003C3367">
      <w:pPr>
        <w:pStyle w:val="NormaleWeb"/>
        <w:numPr>
          <w:ilvl w:val="0"/>
          <w:numId w:val="4"/>
        </w:numPr>
        <w:spacing w:after="0" w:afterAutospacing="0" w:line="360" w:lineRule="auto"/>
        <w:ind w:left="709" w:hanging="425"/>
        <w:jc w:val="both"/>
        <w:rPr>
          <w:bCs/>
        </w:rPr>
      </w:pPr>
      <w:r w:rsidRPr="003C3367">
        <w:rPr>
          <w:bCs/>
        </w:rPr>
        <w:t>Ministero dell’Agricoltura;</w:t>
      </w:r>
    </w:p>
    <w:p w:rsidR="008E1E2A" w:rsidRPr="00E63330" w:rsidRDefault="0096592E" w:rsidP="003C3367">
      <w:pPr>
        <w:pStyle w:val="NormaleWeb"/>
        <w:numPr>
          <w:ilvl w:val="0"/>
          <w:numId w:val="4"/>
        </w:numPr>
        <w:spacing w:after="0" w:afterAutospacing="0" w:line="276" w:lineRule="auto"/>
        <w:ind w:left="709" w:hanging="425"/>
        <w:jc w:val="both"/>
        <w:rPr>
          <w:bCs/>
        </w:rPr>
      </w:pPr>
      <w:r w:rsidRPr="003C3367">
        <w:rPr>
          <w:bCs/>
        </w:rPr>
        <w:t xml:space="preserve">Organismo di Certificazione dei conti (individuato dal </w:t>
      </w:r>
      <w:r w:rsidR="0074533F">
        <w:rPr>
          <w:bCs/>
        </w:rPr>
        <w:t>MIPAAFT</w:t>
      </w:r>
      <w:r w:rsidRPr="003C3367">
        <w:rPr>
          <w:bCs/>
        </w:rPr>
        <w:t xml:space="preserve">): attualmente ricopre tale ruolo la </w:t>
      </w:r>
      <w:proofErr w:type="spellStart"/>
      <w:r w:rsidRPr="003C3367">
        <w:rPr>
          <w:bCs/>
        </w:rPr>
        <w:t>Deloitte</w:t>
      </w:r>
      <w:proofErr w:type="spellEnd"/>
      <w:r w:rsidRPr="003C3367">
        <w:rPr>
          <w:bCs/>
        </w:rPr>
        <w:t xml:space="preserve"> &amp; </w:t>
      </w:r>
      <w:proofErr w:type="spellStart"/>
      <w:r w:rsidRPr="003C3367">
        <w:rPr>
          <w:bCs/>
        </w:rPr>
        <w:t>Touche</w:t>
      </w:r>
      <w:proofErr w:type="spellEnd"/>
      <w:r w:rsidRPr="003C3367">
        <w:rPr>
          <w:bCs/>
        </w:rPr>
        <w:t>.</w:t>
      </w:r>
    </w:p>
    <w:p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I criteri di riconoscimento che l’Agenzia deve necessariamente rispettare per svolgere le proprie attività di Organismo Pagatore, secondo quanto previsto dall’Allegato “1” del Reg. (CE) n. 907/14, sono i seguenti:</w:t>
      </w:r>
    </w:p>
    <w:p w:rsidR="00AE1D8C" w:rsidRPr="00E63330" w:rsidRDefault="00AE1D8C" w:rsidP="008E1E2A">
      <w:pPr>
        <w:autoSpaceDE w:val="0"/>
        <w:autoSpaceDN w:val="0"/>
        <w:adjustRightInd w:val="0"/>
        <w:jc w:val="both"/>
        <w:rPr>
          <w:rFonts w:ascii="Times New Roman" w:hAnsi="Times New Roman"/>
          <w:bCs/>
          <w:sz w:val="24"/>
          <w:szCs w:val="24"/>
        </w:rPr>
      </w:pPr>
    </w:p>
    <w:p w:rsidR="008E1E2A" w:rsidRPr="00E63330" w:rsidRDefault="0096592E" w:rsidP="00DE3766">
      <w:pPr>
        <w:pStyle w:val="Titolo3"/>
      </w:pPr>
      <w:bookmarkStart w:id="38" w:name="_Toc1046942"/>
      <w:r w:rsidRPr="003C3367">
        <w:t>I. Ambiente interno</w:t>
      </w:r>
      <w:bookmarkEnd w:id="38"/>
    </w:p>
    <w:p w:rsidR="008E1E2A" w:rsidRPr="00E63330" w:rsidRDefault="0096592E" w:rsidP="00A12402">
      <w:pPr>
        <w:rPr>
          <w:rFonts w:ascii="Times New Roman" w:hAnsi="Times New Roman"/>
          <w:b/>
        </w:rPr>
      </w:pPr>
      <w:r w:rsidRPr="003C3367">
        <w:rPr>
          <w:rFonts w:ascii="Times New Roman" w:hAnsi="Times New Roman"/>
          <w:b/>
        </w:rPr>
        <w:t>A) Struttura organizzativa</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dell’ARCEA è tale da permettergli di svolgere le funzioni in relazione alla spesa del FEAGA e del FEASR, ed in particolare:</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 autorizzazione e controllo dei pagamenti per fissare l’importo da erogare a un richiedente conformemente alla normativa</w:t>
      </w:r>
      <w:r w:rsidR="009B7CE6">
        <w:rPr>
          <w:rFonts w:ascii="Times New Roman" w:hAnsi="Times New Roman"/>
          <w:bCs/>
          <w:sz w:val="24"/>
          <w:szCs w:val="24"/>
        </w:rPr>
        <w:t xml:space="preserve"> </w:t>
      </w:r>
      <w:r>
        <w:rPr>
          <w:rFonts w:ascii="Times New Roman" w:hAnsi="Times New Roman"/>
          <w:bCs/>
          <w:sz w:val="24"/>
          <w:szCs w:val="24"/>
        </w:rPr>
        <w:t>comunitaria, compresi, in particolare, i controlli amministrativi e in loco;</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 esecuzione dei pagamenti per erogare al richiedente (o a un suo rappresentante) l’importo autorizzato o, nel caso dello</w:t>
      </w:r>
      <w:r w:rsidR="009B7CE6">
        <w:rPr>
          <w:rFonts w:ascii="Times New Roman" w:hAnsi="Times New Roman"/>
          <w:bCs/>
          <w:sz w:val="24"/>
          <w:szCs w:val="24"/>
        </w:rPr>
        <w:t xml:space="preserve"> </w:t>
      </w:r>
      <w:r>
        <w:rPr>
          <w:rFonts w:ascii="Times New Roman" w:hAnsi="Times New Roman"/>
          <w:bCs/>
          <w:sz w:val="24"/>
          <w:szCs w:val="24"/>
        </w:rPr>
        <w:t>sviluppo rurale, la parte del cofinanziamento comunitario;</w:t>
      </w:r>
    </w:p>
    <w:p w:rsidR="008E1E2A" w:rsidRPr="00E63330" w:rsidRDefault="0096592E" w:rsidP="002667A1">
      <w:pPr>
        <w:autoSpaceDE w:val="0"/>
        <w:autoSpaceDN w:val="0"/>
        <w:adjustRightInd w:val="0"/>
        <w:jc w:val="both"/>
        <w:rPr>
          <w:rFonts w:ascii="Times New Roman" w:hAnsi="Times New Roman"/>
          <w:bCs/>
          <w:sz w:val="24"/>
          <w:szCs w:val="24"/>
        </w:rPr>
      </w:pPr>
      <w:r>
        <w:rPr>
          <w:rFonts w:ascii="Times New Roman" w:hAnsi="Times New Roman"/>
          <w:bCs/>
          <w:sz w:val="24"/>
          <w:szCs w:val="24"/>
        </w:rPr>
        <w:t>c) contabilizzazione dei pagamenti per registrare (in formato elettronico) tutti i pagamenti nei conti dell’organismo riservati</w:t>
      </w:r>
      <w:r w:rsidR="009B7CE6">
        <w:rPr>
          <w:rFonts w:ascii="Times New Roman" w:hAnsi="Times New Roman"/>
          <w:bCs/>
          <w:sz w:val="24"/>
          <w:szCs w:val="24"/>
        </w:rPr>
        <w:t xml:space="preserve"> </w:t>
      </w:r>
      <w:r>
        <w:rPr>
          <w:rFonts w:ascii="Times New Roman" w:hAnsi="Times New Roman"/>
          <w:bCs/>
          <w:sz w:val="24"/>
          <w:szCs w:val="24"/>
        </w:rPr>
        <w:t>distintamente alle spese del FEAGA e del FEASR e preparazione di sintesi periodiche di spesa, ivi incluse le dichiarazioni</w:t>
      </w:r>
      <w:r w:rsidR="009B7CE6">
        <w:rPr>
          <w:rFonts w:ascii="Times New Roman" w:hAnsi="Times New Roman"/>
          <w:bCs/>
          <w:sz w:val="24"/>
          <w:szCs w:val="24"/>
        </w:rPr>
        <w:t xml:space="preserve"> </w:t>
      </w:r>
      <w:r>
        <w:rPr>
          <w:rFonts w:ascii="Times New Roman" w:hAnsi="Times New Roman"/>
          <w:bCs/>
          <w:sz w:val="24"/>
          <w:szCs w:val="24"/>
        </w:rPr>
        <w:t xml:space="preserve">mensili, trimestrali (per il FEASR) e annuali destinate alla Commissione. </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dell’organismo pagatore stabilisce in modo chiaro la ripartizione dei poteri e delle responsabilità</w:t>
      </w:r>
      <w:r w:rsidR="009B7CE6">
        <w:rPr>
          <w:rFonts w:ascii="Times New Roman" w:hAnsi="Times New Roman"/>
          <w:bCs/>
          <w:sz w:val="24"/>
          <w:szCs w:val="24"/>
        </w:rPr>
        <w:t xml:space="preserve"> </w:t>
      </w:r>
      <w:r>
        <w:rPr>
          <w:rFonts w:ascii="Times New Roman" w:hAnsi="Times New Roman"/>
          <w:bCs/>
          <w:sz w:val="24"/>
          <w:szCs w:val="24"/>
        </w:rPr>
        <w:t>a tutti i livelli operativi e prevede una separazione delle tre funzioni di cui al paragrafo 1, le cui responsabilità sono definite</w:t>
      </w:r>
      <w:r w:rsidR="009B7CE6">
        <w:rPr>
          <w:rFonts w:ascii="Times New Roman" w:hAnsi="Times New Roman"/>
          <w:bCs/>
          <w:sz w:val="24"/>
          <w:szCs w:val="24"/>
        </w:rPr>
        <w:t xml:space="preserve"> </w:t>
      </w:r>
      <w:r>
        <w:rPr>
          <w:rFonts w:ascii="Times New Roman" w:hAnsi="Times New Roman"/>
          <w:bCs/>
          <w:sz w:val="24"/>
          <w:szCs w:val="24"/>
        </w:rPr>
        <w:t>nell’organigramma. Essa comprende i servizi tecnici e il servizio di audit interno.</w:t>
      </w:r>
    </w:p>
    <w:p w:rsidR="002667A1" w:rsidRDefault="0096592E" w:rsidP="008E1E2A">
      <w:pPr>
        <w:autoSpaceDE w:val="0"/>
        <w:autoSpaceDN w:val="0"/>
        <w:adjustRightInd w:val="0"/>
        <w:jc w:val="both"/>
        <w:rPr>
          <w:rFonts w:ascii="Times New Roman" w:hAnsi="Times New Roman"/>
          <w:bCs/>
          <w:sz w:val="24"/>
          <w:szCs w:val="24"/>
        </w:rPr>
      </w:pPr>
      <w:r w:rsidRPr="00D12431">
        <w:rPr>
          <w:rFonts w:ascii="Times New Roman" w:hAnsi="Times New Roman"/>
          <w:bCs/>
          <w:sz w:val="24"/>
          <w:szCs w:val="24"/>
        </w:rPr>
        <w:t xml:space="preserve">Pertanto, conformemente a quanto previsto dalla normativa sopra indicata, l’ARCEA, con Decreto </w:t>
      </w:r>
      <w:r w:rsidR="00D56863" w:rsidRPr="00D12431">
        <w:rPr>
          <w:rFonts w:ascii="Times New Roman" w:hAnsi="Times New Roman"/>
          <w:bCs/>
          <w:sz w:val="24"/>
          <w:szCs w:val="24"/>
        </w:rPr>
        <w:t>222</w:t>
      </w:r>
      <w:r w:rsidRPr="00D12431">
        <w:rPr>
          <w:rFonts w:ascii="Times New Roman" w:hAnsi="Times New Roman"/>
          <w:bCs/>
          <w:sz w:val="24"/>
          <w:szCs w:val="24"/>
        </w:rPr>
        <w:t xml:space="preserve"> del </w:t>
      </w:r>
      <w:r w:rsidR="00D56863" w:rsidRPr="00D12431">
        <w:rPr>
          <w:rFonts w:ascii="Times New Roman" w:hAnsi="Times New Roman"/>
          <w:bCs/>
          <w:sz w:val="24"/>
          <w:szCs w:val="24"/>
        </w:rPr>
        <w:t>21</w:t>
      </w:r>
      <w:r w:rsidRPr="00D12431">
        <w:rPr>
          <w:rFonts w:ascii="Times New Roman" w:hAnsi="Times New Roman"/>
          <w:bCs/>
          <w:sz w:val="24"/>
          <w:szCs w:val="24"/>
        </w:rPr>
        <w:t xml:space="preserve"> </w:t>
      </w:r>
      <w:r w:rsidR="00D12431" w:rsidRPr="00D12431">
        <w:rPr>
          <w:rFonts w:ascii="Times New Roman" w:hAnsi="Times New Roman"/>
          <w:bCs/>
          <w:sz w:val="24"/>
          <w:szCs w:val="24"/>
        </w:rPr>
        <w:t>Settembre</w:t>
      </w:r>
      <w:r w:rsidRPr="00D12431">
        <w:rPr>
          <w:rFonts w:ascii="Times New Roman" w:hAnsi="Times New Roman"/>
          <w:bCs/>
          <w:sz w:val="24"/>
          <w:szCs w:val="24"/>
        </w:rPr>
        <w:t xml:space="preserve"> 2018, ha approvato la seguente struttura organizzativa</w:t>
      </w:r>
      <w:r w:rsidRPr="003C3367">
        <w:rPr>
          <w:rFonts w:ascii="Times New Roman" w:hAnsi="Times New Roman"/>
          <w:bCs/>
          <w:sz w:val="24"/>
          <w:szCs w:val="24"/>
        </w:rPr>
        <w:t>:</w:t>
      </w:r>
    </w:p>
    <w:p w:rsidR="005824D8" w:rsidRPr="003C3367" w:rsidRDefault="00D56863" w:rsidP="00A12402">
      <w:pPr>
        <w:rPr>
          <w:rFonts w:ascii="Times New Roman" w:hAnsi="Times New Roman"/>
          <w:noProof/>
          <w:color w:val="000000"/>
          <w:sz w:val="24"/>
          <w:szCs w:val="24"/>
          <w:lang w:eastAsia="it-IT"/>
        </w:rPr>
      </w:pPr>
      <w:r>
        <w:rPr>
          <w:rFonts w:ascii="Times New Roman" w:hAnsi="Times New Roman"/>
          <w:noProof/>
          <w:color w:val="000000"/>
          <w:sz w:val="24"/>
          <w:szCs w:val="24"/>
          <w:lang w:eastAsia="it-IT"/>
        </w:rPr>
        <w:lastRenderedPageBreak/>
        <w:drawing>
          <wp:inline distT="0" distB="0" distL="0" distR="0" wp14:anchorId="45C0AEE7" wp14:editId="0C02BEFE">
            <wp:extent cx="6025515" cy="414909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515" cy="4149090"/>
                    </a:xfrm>
                    <a:prstGeom prst="rect">
                      <a:avLst/>
                    </a:prstGeom>
                    <a:noFill/>
                    <a:ln>
                      <a:noFill/>
                    </a:ln>
                  </pic:spPr>
                </pic:pic>
              </a:graphicData>
            </a:graphic>
          </wp:inline>
        </w:drawing>
      </w:r>
    </w:p>
    <w:p w:rsidR="00CD590C" w:rsidRPr="00E63330" w:rsidRDefault="0096592E" w:rsidP="00A12402">
      <w:pPr>
        <w:rPr>
          <w:rFonts w:ascii="Times New Roman" w:hAnsi="Times New Roman"/>
          <w:b/>
        </w:rPr>
      </w:pPr>
      <w:r w:rsidRPr="003C3367">
        <w:rPr>
          <w:rFonts w:ascii="Times New Roman" w:hAnsi="Times New Roman"/>
          <w:noProof/>
          <w:color w:val="000000"/>
          <w:sz w:val="24"/>
          <w:szCs w:val="24"/>
          <w:lang w:eastAsia="it-IT"/>
        </w:rPr>
        <w:br w:type="page"/>
      </w:r>
      <w:r w:rsidRPr="003C3367">
        <w:rPr>
          <w:rFonts w:ascii="Times New Roman" w:hAnsi="Times New Roman"/>
          <w:b/>
        </w:rPr>
        <w:lastRenderedPageBreak/>
        <w:t>Di seguito si riporta anche una versione tabellare dell’organigramma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6016"/>
      </w:tblGrid>
      <w:tr w:rsidR="00172E67" w:rsidRPr="00E63330" w:rsidTr="00155746">
        <w:trPr>
          <w:trHeight w:val="254"/>
        </w:trPr>
        <w:tc>
          <w:tcPr>
            <w:tcW w:w="1903" w:type="pct"/>
            <w:shd w:val="clear" w:color="auto" w:fill="auto"/>
            <w:vAlign w:val="center"/>
          </w:tcPr>
          <w:p w:rsidR="00172E67" w:rsidRPr="00E63330" w:rsidRDefault="0096592E" w:rsidP="00764D22">
            <w:pPr>
              <w:spacing w:after="120"/>
              <w:jc w:val="center"/>
              <w:rPr>
                <w:rFonts w:ascii="Times New Roman" w:hAnsi="Times New Roman"/>
                <w:b/>
                <w:sz w:val="24"/>
                <w:szCs w:val="24"/>
              </w:rPr>
            </w:pPr>
            <w:r w:rsidRPr="003C3367">
              <w:rPr>
                <w:rFonts w:ascii="Times New Roman" w:hAnsi="Times New Roman"/>
                <w:b/>
                <w:sz w:val="24"/>
                <w:szCs w:val="24"/>
              </w:rPr>
              <w:t>STRUTTURA DIRIGENZIALE</w:t>
            </w:r>
          </w:p>
        </w:tc>
        <w:tc>
          <w:tcPr>
            <w:tcW w:w="3097" w:type="pct"/>
            <w:shd w:val="clear" w:color="auto" w:fill="auto"/>
            <w:vAlign w:val="center"/>
          </w:tcPr>
          <w:p w:rsidR="00172E67" w:rsidRPr="00E63330" w:rsidRDefault="0096592E" w:rsidP="00D53E78">
            <w:pPr>
              <w:spacing w:after="120"/>
              <w:jc w:val="center"/>
              <w:rPr>
                <w:rFonts w:ascii="Times New Roman" w:hAnsi="Times New Roman"/>
                <w:b/>
                <w:sz w:val="24"/>
                <w:szCs w:val="24"/>
              </w:rPr>
            </w:pPr>
            <w:r w:rsidRPr="003C3367">
              <w:rPr>
                <w:rFonts w:ascii="Times New Roman" w:hAnsi="Times New Roman"/>
                <w:b/>
                <w:sz w:val="24"/>
                <w:szCs w:val="24"/>
              </w:rPr>
              <w:t>UFFICI</w:t>
            </w:r>
          </w:p>
        </w:tc>
      </w:tr>
      <w:tr w:rsidR="00172E67" w:rsidRPr="00E63330" w:rsidTr="00155746">
        <w:trPr>
          <w:trHeight w:val="254"/>
        </w:trPr>
        <w:tc>
          <w:tcPr>
            <w:tcW w:w="1903" w:type="pct"/>
            <w:shd w:val="clear" w:color="auto" w:fill="auto"/>
            <w:vAlign w:val="center"/>
          </w:tcPr>
          <w:p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Direzione</w:t>
            </w:r>
          </w:p>
          <w:p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rsidR="00172E67" w:rsidRPr="00E63330" w:rsidRDefault="0096592E" w:rsidP="00B92D34">
            <w:pPr>
              <w:spacing w:after="120"/>
              <w:jc w:val="center"/>
              <w:rPr>
                <w:rFonts w:ascii="Times New Roman" w:hAnsi="Times New Roman"/>
                <w:sz w:val="24"/>
                <w:szCs w:val="24"/>
              </w:rPr>
            </w:pPr>
            <w:r w:rsidRPr="003C3367">
              <w:rPr>
                <w:rFonts w:ascii="Times New Roman" w:hAnsi="Times New Roman"/>
                <w:sz w:val="24"/>
                <w:szCs w:val="24"/>
              </w:rPr>
              <w:t>DG: Direzione Generale</w:t>
            </w:r>
          </w:p>
          <w:p w:rsidR="00172E67" w:rsidRPr="00E63330" w:rsidRDefault="0096592E" w:rsidP="00F60ED7">
            <w:pPr>
              <w:spacing w:after="120"/>
              <w:jc w:val="center"/>
              <w:rPr>
                <w:rFonts w:ascii="Times New Roman" w:hAnsi="Times New Roman"/>
                <w:sz w:val="24"/>
                <w:szCs w:val="24"/>
              </w:rPr>
            </w:pPr>
            <w:r w:rsidRPr="003C3367">
              <w:rPr>
                <w:rFonts w:ascii="Times New Roman" w:hAnsi="Times New Roman"/>
                <w:sz w:val="24"/>
                <w:szCs w:val="24"/>
              </w:rPr>
              <w:t>D1: Servizio di Controllo Interno</w:t>
            </w:r>
          </w:p>
          <w:p w:rsidR="00172E67" w:rsidRPr="00E63330" w:rsidRDefault="0096592E" w:rsidP="00996531">
            <w:pPr>
              <w:spacing w:after="120"/>
              <w:jc w:val="center"/>
              <w:rPr>
                <w:rFonts w:ascii="Times New Roman" w:hAnsi="Times New Roman"/>
                <w:sz w:val="24"/>
                <w:szCs w:val="24"/>
              </w:rPr>
            </w:pPr>
            <w:r w:rsidRPr="003C3367">
              <w:rPr>
                <w:rFonts w:ascii="Times New Roman" w:hAnsi="Times New Roman"/>
                <w:sz w:val="24"/>
                <w:szCs w:val="24"/>
              </w:rPr>
              <w:t>D2: Affari Generali</w:t>
            </w:r>
          </w:p>
          <w:p w:rsidR="00172E67" w:rsidRPr="00E63330" w:rsidRDefault="00D12431" w:rsidP="00155746">
            <w:pPr>
              <w:spacing w:after="120"/>
              <w:jc w:val="center"/>
              <w:rPr>
                <w:rFonts w:ascii="Times New Roman" w:hAnsi="Times New Roman"/>
                <w:sz w:val="24"/>
                <w:szCs w:val="24"/>
              </w:rPr>
            </w:pPr>
            <w:r w:rsidRPr="00D12431">
              <w:rPr>
                <w:rFonts w:ascii="Times New Roman" w:hAnsi="Times New Roman"/>
                <w:sz w:val="24"/>
                <w:szCs w:val="24"/>
              </w:rPr>
              <w:t xml:space="preserve">D3: </w:t>
            </w:r>
            <w:r w:rsidR="0096592E" w:rsidRPr="003C3367">
              <w:rPr>
                <w:rFonts w:ascii="Times New Roman" w:hAnsi="Times New Roman"/>
                <w:sz w:val="24"/>
                <w:szCs w:val="24"/>
              </w:rPr>
              <w:t>Ufficio Monitoraggio e Comunicazione</w:t>
            </w:r>
          </w:p>
          <w:p w:rsidR="00172E67" w:rsidRDefault="0096592E" w:rsidP="00155746">
            <w:pPr>
              <w:spacing w:after="120"/>
              <w:jc w:val="center"/>
              <w:rPr>
                <w:rFonts w:ascii="Times New Roman" w:hAnsi="Times New Roman"/>
                <w:sz w:val="24"/>
                <w:szCs w:val="24"/>
              </w:rPr>
            </w:pPr>
            <w:r w:rsidRPr="003C3367">
              <w:rPr>
                <w:rFonts w:ascii="Times New Roman" w:hAnsi="Times New Roman"/>
                <w:sz w:val="24"/>
                <w:szCs w:val="24"/>
              </w:rPr>
              <w:t>D4: Servizio Informativo</w:t>
            </w:r>
          </w:p>
          <w:p w:rsidR="00172E67" w:rsidRPr="003C3367" w:rsidRDefault="00D12431" w:rsidP="00D12431">
            <w:pPr>
              <w:spacing w:after="120"/>
              <w:jc w:val="center"/>
              <w:rPr>
                <w:rFonts w:ascii="Times New Roman" w:hAnsi="Times New Roman"/>
                <w:sz w:val="24"/>
                <w:szCs w:val="24"/>
              </w:rPr>
            </w:pPr>
            <w:r w:rsidRPr="003C3367">
              <w:rPr>
                <w:rFonts w:ascii="Times New Roman" w:hAnsi="Times New Roman"/>
                <w:sz w:val="24"/>
                <w:szCs w:val="24"/>
              </w:rPr>
              <w:t>D</w:t>
            </w:r>
            <w:r>
              <w:rPr>
                <w:rFonts w:ascii="Times New Roman" w:hAnsi="Times New Roman"/>
                <w:sz w:val="24"/>
                <w:szCs w:val="24"/>
              </w:rPr>
              <w:t>5</w:t>
            </w:r>
            <w:r w:rsidRPr="003C3367">
              <w:rPr>
                <w:rFonts w:ascii="Times New Roman" w:hAnsi="Times New Roman"/>
                <w:sz w:val="24"/>
                <w:szCs w:val="24"/>
              </w:rPr>
              <w:t xml:space="preserve">: Segreteria di Direzione  </w:t>
            </w:r>
          </w:p>
        </w:tc>
      </w:tr>
      <w:tr w:rsidR="00172E67" w:rsidRPr="00E63330" w:rsidTr="00155746">
        <w:trPr>
          <w:trHeight w:val="252"/>
        </w:trPr>
        <w:tc>
          <w:tcPr>
            <w:tcW w:w="1903" w:type="pct"/>
            <w:shd w:val="clear" w:color="auto" w:fill="auto"/>
            <w:vAlign w:val="center"/>
          </w:tcPr>
          <w:p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Autorizzazione dei pagamenti</w:t>
            </w:r>
          </w:p>
          <w:p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A1: Ufficio Funzioni di Supporto</w:t>
            </w:r>
          </w:p>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A2: Coordinamento dei Pagamenti Fondo FEAGA</w:t>
            </w:r>
          </w:p>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A3: Sviluppo Rurale ARCEA</w:t>
            </w:r>
          </w:p>
        </w:tc>
      </w:tr>
      <w:tr w:rsidR="00172E67" w:rsidRPr="00E63330" w:rsidTr="00155746">
        <w:trPr>
          <w:trHeight w:val="252"/>
        </w:trPr>
        <w:tc>
          <w:tcPr>
            <w:tcW w:w="1903" w:type="pct"/>
            <w:shd w:val="clear" w:color="auto" w:fill="auto"/>
            <w:vAlign w:val="center"/>
          </w:tcPr>
          <w:p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Esecuzione dei pagamenti</w:t>
            </w:r>
          </w:p>
          <w:p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E1: Esecuzione Pagamenti</w:t>
            </w:r>
          </w:p>
          <w:p w:rsidR="00F40D38"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E2: Servizio Tecnico</w:t>
            </w:r>
          </w:p>
        </w:tc>
      </w:tr>
      <w:tr w:rsidR="00172E67" w:rsidRPr="00E63330" w:rsidTr="00155746">
        <w:trPr>
          <w:trHeight w:val="252"/>
        </w:trPr>
        <w:tc>
          <w:tcPr>
            <w:tcW w:w="1903" w:type="pct"/>
            <w:shd w:val="clear" w:color="auto" w:fill="auto"/>
            <w:vAlign w:val="center"/>
          </w:tcPr>
          <w:p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Contabilizzazione</w:t>
            </w:r>
          </w:p>
          <w:p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C1: Contabilizzazione</w:t>
            </w:r>
          </w:p>
          <w:p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C2: Ufficio Contenzioso Comunitario</w:t>
            </w:r>
          </w:p>
        </w:tc>
      </w:tr>
    </w:tbl>
    <w:p w:rsidR="004C16DB" w:rsidRPr="00E63330" w:rsidRDefault="004C16DB" w:rsidP="00A12402">
      <w:pPr>
        <w:rPr>
          <w:rFonts w:ascii="Times New Roman" w:hAnsi="Times New Roman"/>
          <w:b/>
        </w:rPr>
      </w:pPr>
    </w:p>
    <w:p w:rsidR="008E1E2A" w:rsidRPr="00E63330" w:rsidRDefault="0096592E" w:rsidP="00A12402">
      <w:pPr>
        <w:rPr>
          <w:rFonts w:ascii="Times New Roman" w:hAnsi="Times New Roman"/>
          <w:b/>
        </w:rPr>
      </w:pPr>
      <w:r w:rsidRPr="003C3367">
        <w:rPr>
          <w:rFonts w:ascii="Times New Roman" w:hAnsi="Times New Roman"/>
          <w:b/>
        </w:rPr>
        <w:t>B) Risorse umane</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L’ARCEA deve garantire, al fine del mantenimento del proprio riconoscimento:</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a) la disponibilità di risorse umane adeguate per l’esecuzione delle operazioni e delle competenze tecniche necessarie ai</w:t>
      </w:r>
      <w:r w:rsidR="009B7CE6">
        <w:rPr>
          <w:rFonts w:ascii="Times New Roman" w:hAnsi="Times New Roman"/>
          <w:bCs/>
          <w:sz w:val="24"/>
          <w:szCs w:val="24"/>
        </w:rPr>
        <w:t xml:space="preserve"> </w:t>
      </w:r>
      <w:r w:rsidRPr="003C3367">
        <w:rPr>
          <w:rFonts w:ascii="Times New Roman" w:hAnsi="Times New Roman"/>
          <w:bCs/>
          <w:sz w:val="24"/>
          <w:szCs w:val="24"/>
        </w:rPr>
        <w:t>differenti livelli delle operazioni;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una ripartizione dei compiti tale da garantire che nessun funzionario abbia contemporaneamente più incarichi in materia</w:t>
      </w:r>
      <w:r w:rsidR="009B7CE6">
        <w:rPr>
          <w:rFonts w:ascii="Times New Roman" w:hAnsi="Times New Roman"/>
          <w:bCs/>
          <w:sz w:val="24"/>
          <w:szCs w:val="24"/>
        </w:rPr>
        <w:t xml:space="preserve"> </w:t>
      </w:r>
      <w:r w:rsidRPr="003C3367">
        <w:rPr>
          <w:rFonts w:ascii="Times New Roman" w:hAnsi="Times New Roman"/>
          <w:bCs/>
          <w:sz w:val="24"/>
          <w:szCs w:val="24"/>
        </w:rPr>
        <w:t>di autorizzazione, pagamento o contabilizzazione per le somme imputate al FEAGA o al FEASR e che nessun funzionario</w:t>
      </w:r>
      <w:r w:rsidR="009B7CE6">
        <w:rPr>
          <w:rFonts w:ascii="Times New Roman" w:hAnsi="Times New Roman"/>
          <w:bCs/>
          <w:sz w:val="24"/>
          <w:szCs w:val="24"/>
        </w:rPr>
        <w:t xml:space="preserve"> </w:t>
      </w:r>
      <w:r w:rsidRPr="003C3367">
        <w:rPr>
          <w:rFonts w:ascii="Times New Roman" w:hAnsi="Times New Roman"/>
          <w:bCs/>
          <w:sz w:val="24"/>
          <w:szCs w:val="24"/>
        </w:rPr>
        <w:t>svolga uno dei compiti predetti senza che il suo lavoro sia controllato da un secondo funzionario;</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che le responsabilità dei singoli funzionari siano definite per iscritto, inclusa la fissazione di limiti finanziari alle loro</w:t>
      </w:r>
      <w:r w:rsidR="009B7CE6">
        <w:rPr>
          <w:rFonts w:ascii="Times New Roman" w:hAnsi="Times New Roman"/>
          <w:bCs/>
          <w:sz w:val="24"/>
          <w:szCs w:val="24"/>
        </w:rPr>
        <w:t xml:space="preserve"> </w:t>
      </w:r>
      <w:r w:rsidRPr="003C3367">
        <w:rPr>
          <w:rFonts w:ascii="Times New Roman" w:hAnsi="Times New Roman"/>
          <w:bCs/>
          <w:sz w:val="24"/>
          <w:szCs w:val="24"/>
        </w:rPr>
        <w:t>competenze;</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che sia prevista una formazione adeguata del personale a tutti i livelli e che esista una politica per la rotazione del personale</w:t>
      </w:r>
      <w:r w:rsidR="009B7CE6">
        <w:rPr>
          <w:rFonts w:ascii="Times New Roman" w:hAnsi="Times New Roman"/>
          <w:bCs/>
          <w:sz w:val="24"/>
          <w:szCs w:val="24"/>
        </w:rPr>
        <w:t xml:space="preserve"> </w:t>
      </w:r>
      <w:r w:rsidRPr="003C3367">
        <w:rPr>
          <w:rFonts w:ascii="Times New Roman" w:hAnsi="Times New Roman"/>
          <w:bCs/>
          <w:sz w:val="24"/>
          <w:szCs w:val="24"/>
        </w:rPr>
        <w:t>addetto a funzioni sensibili o, in alternativa, per aumentare la supervisione sullo stesso;</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e) che siano adottate misure adeguate per evitare il rischio di un conflitto d’interessi quando persone che occupano una</w:t>
      </w:r>
      <w:r w:rsidR="009B7CE6">
        <w:rPr>
          <w:rFonts w:ascii="Times New Roman" w:hAnsi="Times New Roman"/>
          <w:bCs/>
          <w:sz w:val="24"/>
          <w:szCs w:val="24"/>
        </w:rPr>
        <w:t xml:space="preserve"> </w:t>
      </w:r>
      <w:r w:rsidRPr="003C3367">
        <w:rPr>
          <w:rFonts w:ascii="Times New Roman" w:hAnsi="Times New Roman"/>
          <w:bCs/>
          <w:sz w:val="24"/>
          <w:szCs w:val="24"/>
        </w:rPr>
        <w:t>posizione di responsabilità o svolgono un incarico delicato in materia di verifica, autorizzazione, pagamento e contabilizzazione</w:t>
      </w:r>
      <w:r w:rsidR="009B7CE6">
        <w:rPr>
          <w:rFonts w:ascii="Times New Roman" w:hAnsi="Times New Roman"/>
          <w:bCs/>
          <w:sz w:val="24"/>
          <w:szCs w:val="24"/>
        </w:rPr>
        <w:t xml:space="preserve"> </w:t>
      </w:r>
      <w:r w:rsidRPr="003C3367">
        <w:rPr>
          <w:rFonts w:ascii="Times New Roman" w:hAnsi="Times New Roman"/>
          <w:bCs/>
          <w:sz w:val="24"/>
          <w:szCs w:val="24"/>
        </w:rPr>
        <w:t>delle domande assumono altre funzioni al di fuori dell’organismo pagatore.</w:t>
      </w:r>
    </w:p>
    <w:p w:rsidR="00C54597" w:rsidRPr="00E63330" w:rsidRDefault="00C54597" w:rsidP="00A12402">
      <w:pPr>
        <w:rPr>
          <w:rFonts w:ascii="Times New Roman" w:hAnsi="Times New Roman"/>
          <w:b/>
          <w:sz w:val="8"/>
        </w:rPr>
      </w:pPr>
    </w:p>
    <w:p w:rsidR="008E1E2A" w:rsidRPr="00E63330" w:rsidRDefault="0096592E" w:rsidP="00A12402">
      <w:pPr>
        <w:rPr>
          <w:rFonts w:ascii="Times New Roman" w:hAnsi="Times New Roman"/>
          <w:b/>
        </w:rPr>
      </w:pPr>
      <w:r w:rsidRPr="003C3367">
        <w:rPr>
          <w:rFonts w:ascii="Times New Roman" w:hAnsi="Times New Roman"/>
          <w:b/>
        </w:rPr>
        <w:t>C) Delega</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lastRenderedPageBreak/>
        <w:t>L’ARCEA, nel rispetto di quanto previsto dal Reg. (UE) n. 1306/2013 e dal Reg. (UE) n. 907/2014, può delegare alcune funzioni dell’Organismo Pagatore, soddisfacendo, in ogni caso, le seguenti condizioni: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a) un accordo scritto tra l’organismo pagatore e tale organismo deve specificare la natura delle informazioni e dei documenti</w:t>
      </w:r>
      <w:r w:rsidR="009B7CE6">
        <w:rPr>
          <w:rFonts w:ascii="Times New Roman" w:hAnsi="Times New Roman"/>
          <w:bCs/>
          <w:sz w:val="24"/>
          <w:szCs w:val="24"/>
        </w:rPr>
        <w:t xml:space="preserve"> </w:t>
      </w:r>
      <w:r w:rsidRPr="003C3367">
        <w:rPr>
          <w:rFonts w:ascii="Times New Roman" w:hAnsi="Times New Roman"/>
          <w:bCs/>
          <w:sz w:val="24"/>
          <w:szCs w:val="24"/>
        </w:rPr>
        <w:t>giustificativi da presentare all’organismo pagatore, nonché i termini entro i quali devono essere forniti. L’accordo</w:t>
      </w:r>
      <w:r w:rsidR="009B7CE6">
        <w:rPr>
          <w:rFonts w:ascii="Times New Roman" w:hAnsi="Times New Roman"/>
          <w:bCs/>
          <w:sz w:val="24"/>
          <w:szCs w:val="24"/>
        </w:rPr>
        <w:t xml:space="preserve"> </w:t>
      </w:r>
      <w:r w:rsidRPr="003C3367">
        <w:rPr>
          <w:rFonts w:ascii="Times New Roman" w:hAnsi="Times New Roman"/>
          <w:bCs/>
          <w:sz w:val="24"/>
          <w:szCs w:val="24"/>
        </w:rPr>
        <w:t>deve consentire all’organismo pagatore di rispettare i criteri per il riconoscimento;</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l’organismo pagatore resta in ogni caso responsabile dell’efficace gestione dei Fondi interessati;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le responsabilità e gli obblighi dell’altro organismo, segnatamente per il controllo e la verifica del rispetto della normativa</w:t>
      </w:r>
      <w:r w:rsidR="009B7CE6">
        <w:rPr>
          <w:rFonts w:ascii="Times New Roman" w:hAnsi="Times New Roman"/>
          <w:bCs/>
          <w:sz w:val="24"/>
          <w:szCs w:val="24"/>
        </w:rPr>
        <w:t xml:space="preserve"> </w:t>
      </w:r>
      <w:r w:rsidRPr="003C3367">
        <w:rPr>
          <w:rFonts w:ascii="Times New Roman" w:hAnsi="Times New Roman"/>
          <w:bCs/>
          <w:sz w:val="24"/>
          <w:szCs w:val="24"/>
        </w:rPr>
        <w:t>comunitaria, vanno chiaramente definiti;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l’organismo pagatore deve garantire che l’organismo delegato disponga di sistemi efficaci per espletare in maniera soddisfacente</w:t>
      </w:r>
      <w:r w:rsidR="009B7CE6">
        <w:rPr>
          <w:rFonts w:ascii="Times New Roman" w:hAnsi="Times New Roman"/>
          <w:bCs/>
          <w:sz w:val="24"/>
          <w:szCs w:val="24"/>
        </w:rPr>
        <w:t xml:space="preserve"> </w:t>
      </w:r>
      <w:r w:rsidRPr="003C3367">
        <w:rPr>
          <w:rFonts w:ascii="Times New Roman" w:hAnsi="Times New Roman"/>
          <w:bCs/>
          <w:sz w:val="24"/>
          <w:szCs w:val="24"/>
        </w:rPr>
        <w:t>i compiti che gli sono assegnati;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e) l’organismo delegato conferma esplicitamente all’organismo pagatore che è in grado di espletare i compiti suddetti e</w:t>
      </w:r>
      <w:r w:rsidR="009B7CE6">
        <w:rPr>
          <w:rFonts w:ascii="Times New Roman" w:hAnsi="Times New Roman"/>
          <w:bCs/>
          <w:sz w:val="24"/>
          <w:szCs w:val="24"/>
        </w:rPr>
        <w:t xml:space="preserve"> </w:t>
      </w:r>
      <w:r w:rsidRPr="003C3367">
        <w:rPr>
          <w:rFonts w:ascii="Times New Roman" w:hAnsi="Times New Roman"/>
          <w:bCs/>
          <w:sz w:val="24"/>
          <w:szCs w:val="24"/>
        </w:rPr>
        <w:t>descrive i mezzi utilizzati;</w:t>
      </w:r>
    </w:p>
    <w:p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f) periodicamente l’organismo pagatore sottopone a verifica le funzioni delegate per accertarsi che l’operato dell’organismo</w:t>
      </w:r>
      <w:r w:rsidR="009B7CE6">
        <w:rPr>
          <w:rFonts w:ascii="Times New Roman" w:hAnsi="Times New Roman"/>
          <w:bCs/>
          <w:sz w:val="24"/>
          <w:szCs w:val="24"/>
        </w:rPr>
        <w:t xml:space="preserve"> </w:t>
      </w:r>
      <w:r w:rsidRPr="003C3367">
        <w:rPr>
          <w:rFonts w:ascii="Times New Roman" w:hAnsi="Times New Roman"/>
          <w:bCs/>
          <w:sz w:val="24"/>
          <w:szCs w:val="24"/>
        </w:rPr>
        <w:t>sia di livello soddisfacente e conforme alla normativa comunitaria.</w:t>
      </w:r>
    </w:p>
    <w:p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L’ARCEA, nel rispetto della normativa di riferimento sopra richiamato, ha affidato alcune attività proprie dell’Organismo Pagatore a soggetti terzi attraverso appositi atti di delega. </w:t>
      </w:r>
    </w:p>
    <w:p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Nello specifico gli Enti delegati dall’Agenzia, alla data del 31 dicembre 2018, sono i seguenti:</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6237"/>
      </w:tblGrid>
      <w:tr w:rsidR="002B4734" w:rsidRPr="00E63330" w:rsidTr="00155746">
        <w:tc>
          <w:tcPr>
            <w:tcW w:w="4395" w:type="dxa"/>
            <w:vAlign w:val="center"/>
          </w:tcPr>
          <w:p w:rsidR="002B4734" w:rsidRPr="00E63330" w:rsidRDefault="0096592E" w:rsidP="00764D22">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Organismi Delegati</w:t>
            </w:r>
          </w:p>
        </w:tc>
        <w:tc>
          <w:tcPr>
            <w:tcW w:w="6237" w:type="dxa"/>
            <w:vAlign w:val="center"/>
          </w:tcPr>
          <w:p w:rsidR="002B4734" w:rsidRPr="00E63330" w:rsidRDefault="0096592E" w:rsidP="00D53E78">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Oggetto della delega</w:t>
            </w:r>
          </w:p>
        </w:tc>
      </w:tr>
      <w:tr w:rsidR="00791C91" w:rsidRPr="00E63330" w:rsidTr="00155746">
        <w:trPr>
          <w:trHeight w:val="415"/>
        </w:trPr>
        <w:tc>
          <w:tcPr>
            <w:tcW w:w="4395" w:type="dxa"/>
            <w:vAlign w:val="center"/>
          </w:tcPr>
          <w:p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Centri di Assistenza Agricola (CAA)</w:t>
            </w:r>
          </w:p>
        </w:tc>
        <w:tc>
          <w:tcPr>
            <w:tcW w:w="6237" w:type="dxa"/>
            <w:vAlign w:val="center"/>
          </w:tcPr>
          <w:p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Costituzione, tenuta ed aggiornamento dei fascicoli aziendali dei beneficiari</w:t>
            </w:r>
          </w:p>
        </w:tc>
      </w:tr>
      <w:tr w:rsidR="00791C91" w:rsidRPr="00E63330" w:rsidTr="00155746">
        <w:tc>
          <w:tcPr>
            <w:tcW w:w="4395" w:type="dxa"/>
            <w:vAlign w:val="center"/>
          </w:tcPr>
          <w:p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Dipartimento Agricoltura della Regione Calabria</w:t>
            </w:r>
          </w:p>
        </w:tc>
        <w:tc>
          <w:tcPr>
            <w:tcW w:w="6237" w:type="dxa"/>
            <w:vAlign w:val="center"/>
          </w:tcPr>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ricevere le domande di pagamento;</w:t>
            </w:r>
          </w:p>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eseguire il controllo amministrativo;</w:t>
            </w:r>
          </w:p>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definire gli elenchi di liquidazione;</w:t>
            </w:r>
          </w:p>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effettuare i controlli in loco, di cui all’art. 59 del Reg. (UE) 1326/13 e dell’art. 24 del Reg (UE) 809/2014  ;</w:t>
            </w:r>
          </w:p>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 xml:space="preserve">verificare il puntuale andamento/avanzamento delle azioni correttive previste dal Piano d’azione per la riduzione del Tasso di errore </w:t>
            </w:r>
          </w:p>
          <w:p w:rsidR="001378E6" w:rsidRDefault="0096592E" w:rsidP="003C3367">
            <w:pPr>
              <w:numPr>
                <w:ilvl w:val="0"/>
                <w:numId w:val="60"/>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 xml:space="preserve">garantire, in ogni fase di vigenza della delega, la corretta e puntuale attuazione della previsione di cui all’art. 58 del Reg. (UE) 1326/13. </w:t>
            </w:r>
          </w:p>
        </w:tc>
      </w:tr>
      <w:tr w:rsidR="00791C91" w:rsidRPr="00E63330" w:rsidTr="00155746">
        <w:tc>
          <w:tcPr>
            <w:tcW w:w="4395" w:type="dxa"/>
            <w:vAlign w:val="center"/>
          </w:tcPr>
          <w:p w:rsidR="00791C91" w:rsidRPr="00E63330" w:rsidRDefault="0096592E" w:rsidP="00155746">
            <w:pPr>
              <w:tabs>
                <w:tab w:val="left" w:pos="426"/>
              </w:tabs>
              <w:autoSpaceDE w:val="0"/>
              <w:autoSpaceDN w:val="0"/>
              <w:adjustRightInd w:val="0"/>
              <w:jc w:val="center"/>
              <w:rPr>
                <w:rFonts w:ascii="Times New Roman" w:hAnsi="Times New Roman"/>
                <w:bCs/>
              </w:rPr>
            </w:pPr>
            <w:r>
              <w:rPr>
                <w:rFonts w:ascii="Times New Roman" w:hAnsi="Times New Roman"/>
                <w:bCs/>
                <w:sz w:val="20"/>
                <w:szCs w:val="20"/>
              </w:rPr>
              <w:t>SIN S.p.A. (Ente strumentale di AGEA - Coordinamento</w:t>
            </w:r>
          </w:p>
        </w:tc>
        <w:tc>
          <w:tcPr>
            <w:tcW w:w="6237" w:type="dxa"/>
            <w:vAlign w:val="center"/>
          </w:tcPr>
          <w:p w:rsidR="00791C91" w:rsidRPr="00E63330" w:rsidRDefault="0096592E" w:rsidP="00155746">
            <w:pPr>
              <w:tabs>
                <w:tab w:val="left" w:pos="426"/>
              </w:tabs>
              <w:autoSpaceDE w:val="0"/>
              <w:autoSpaceDN w:val="0"/>
              <w:adjustRightInd w:val="0"/>
              <w:jc w:val="center"/>
              <w:rPr>
                <w:rFonts w:ascii="Times New Roman" w:hAnsi="Times New Roman"/>
                <w:bCs/>
              </w:rPr>
            </w:pPr>
            <w:r>
              <w:rPr>
                <w:rFonts w:ascii="Times New Roman" w:hAnsi="Times New Roman"/>
                <w:bCs/>
                <w:sz w:val="20"/>
                <w:szCs w:val="20"/>
              </w:rPr>
              <w:t>Attività operative necessarie alla conduzione ed evoluzione dei servizi del Sistema Informativo Agricolo Nazionale (SIAN) in favore di ARCEA</w:t>
            </w:r>
          </w:p>
        </w:tc>
      </w:tr>
    </w:tbl>
    <w:p w:rsidR="00C54597" w:rsidRPr="003C3367" w:rsidRDefault="00C54597" w:rsidP="00C20FFD">
      <w:pPr>
        <w:pStyle w:val="Nessunaspaziatura1"/>
        <w:rPr>
          <w:rFonts w:ascii="Times New Roman" w:hAnsi="Times New Roman"/>
        </w:rPr>
      </w:pPr>
    </w:p>
    <w:p w:rsidR="008E1E2A" w:rsidRPr="00E63330" w:rsidRDefault="0096592E" w:rsidP="00DE3766">
      <w:pPr>
        <w:pStyle w:val="Titolo3"/>
      </w:pPr>
      <w:bookmarkStart w:id="39" w:name="_Toc1046943"/>
      <w:r w:rsidRPr="003C3367">
        <w:t>II. Attività di controllo</w:t>
      </w:r>
      <w:bookmarkEnd w:id="39"/>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Procedure di autorizzazione delle domande</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rsidR="008E1E2A" w:rsidRPr="00E63330" w:rsidRDefault="0096592E" w:rsidP="001C2866">
      <w:pPr>
        <w:numPr>
          <w:ilvl w:val="1"/>
          <w:numId w:val="45"/>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stabilisce procedure particolareggiate per il ricevimento, la registrazione e il trattamento delle domande, compresa una</w:t>
      </w:r>
      <w:r w:rsidR="009B7CE6">
        <w:rPr>
          <w:rFonts w:ascii="Times New Roman" w:hAnsi="Times New Roman"/>
          <w:bCs/>
          <w:sz w:val="24"/>
          <w:szCs w:val="24"/>
        </w:rPr>
        <w:t xml:space="preserve"> </w:t>
      </w:r>
      <w:r>
        <w:rPr>
          <w:rFonts w:ascii="Times New Roman" w:hAnsi="Times New Roman"/>
          <w:bCs/>
          <w:sz w:val="24"/>
          <w:szCs w:val="24"/>
        </w:rPr>
        <w:t>descrizione di tutti i documenti da utilizzare;</w:t>
      </w:r>
    </w:p>
    <w:p w:rsidR="008E1E2A" w:rsidRPr="00E63330" w:rsidRDefault="0096592E" w:rsidP="001C2866">
      <w:pPr>
        <w:numPr>
          <w:ilvl w:val="1"/>
          <w:numId w:val="45"/>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lastRenderedPageBreak/>
        <w:t>ogni funzionario responsabile dell’autorizzazione dispone di un elenco esauriente delle verifiche che è tenuto a effettuare</w:t>
      </w:r>
      <w:r w:rsidR="009B7CE6">
        <w:rPr>
          <w:rFonts w:ascii="Times New Roman" w:hAnsi="Times New Roman"/>
          <w:bCs/>
          <w:sz w:val="24"/>
          <w:szCs w:val="24"/>
        </w:rPr>
        <w:t xml:space="preserve"> </w:t>
      </w:r>
      <w:r>
        <w:rPr>
          <w:rFonts w:ascii="Times New Roman" w:hAnsi="Times New Roman"/>
          <w:bCs/>
          <w:sz w:val="24"/>
          <w:szCs w:val="24"/>
        </w:rPr>
        <w:t>e include, fra i documenti giustificativi della domanda, l’attestato che tali verifiche sono state effettuate. L’attestato</w:t>
      </w:r>
      <w:r w:rsidR="009B7CE6">
        <w:rPr>
          <w:rFonts w:ascii="Times New Roman" w:hAnsi="Times New Roman"/>
          <w:bCs/>
          <w:sz w:val="24"/>
          <w:szCs w:val="24"/>
        </w:rPr>
        <w:t xml:space="preserve"> </w:t>
      </w:r>
      <w:r>
        <w:rPr>
          <w:rFonts w:ascii="Times New Roman" w:hAnsi="Times New Roman"/>
          <w:bCs/>
          <w:sz w:val="24"/>
          <w:szCs w:val="24"/>
        </w:rPr>
        <w:t>può essere in formato elettronico. Deve essere provato che le operazioni sono state verificate da un membro del personale</w:t>
      </w:r>
      <w:r w:rsidR="009B7CE6">
        <w:rPr>
          <w:rFonts w:ascii="Times New Roman" w:hAnsi="Times New Roman"/>
          <w:bCs/>
          <w:sz w:val="24"/>
          <w:szCs w:val="24"/>
        </w:rPr>
        <w:t xml:space="preserve"> </w:t>
      </w:r>
      <w:r>
        <w:rPr>
          <w:rFonts w:ascii="Times New Roman" w:hAnsi="Times New Roman"/>
          <w:bCs/>
          <w:sz w:val="24"/>
          <w:szCs w:val="24"/>
        </w:rPr>
        <w:t>di grado superiore;</w:t>
      </w:r>
    </w:p>
    <w:p w:rsidR="008E1E2A" w:rsidRPr="00E63330" w:rsidRDefault="0096592E" w:rsidP="001C2866">
      <w:pPr>
        <w:numPr>
          <w:ilvl w:val="1"/>
          <w:numId w:val="45"/>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il pagamento può essere autorizzato solo quando sono stati effettuati controlli sufficienti per verificare che la domanda</w:t>
      </w:r>
      <w:r w:rsidR="009B7CE6">
        <w:rPr>
          <w:rFonts w:ascii="Times New Roman" w:hAnsi="Times New Roman"/>
          <w:bCs/>
          <w:sz w:val="24"/>
          <w:szCs w:val="24"/>
        </w:rPr>
        <w:t xml:space="preserve"> </w:t>
      </w:r>
      <w:r>
        <w:rPr>
          <w:rFonts w:ascii="Times New Roman" w:hAnsi="Times New Roman"/>
          <w:bCs/>
          <w:sz w:val="24"/>
          <w:szCs w:val="24"/>
        </w:rPr>
        <w:t>è conforme alla normativa dell’Unione. I controlli includono tutte le verifiche prescritte dalla normativa che disciplinale misure specifiche in base alle quali viene richiesto l’aiuto, nonché dall’articolo 58 del regolamento (UE) n. 1306/2013,per prevenire e individuare frodi e irregolarità, con particolare riguardo ai rischi connessi. Per quanto riguarda il FEASR,</w:t>
      </w:r>
      <w:r w:rsidR="009B7CE6">
        <w:rPr>
          <w:rFonts w:ascii="Times New Roman" w:hAnsi="Times New Roman"/>
          <w:bCs/>
          <w:sz w:val="24"/>
          <w:szCs w:val="24"/>
        </w:rPr>
        <w:t xml:space="preserve"> </w:t>
      </w:r>
      <w:r>
        <w:rPr>
          <w:rFonts w:ascii="Times New Roman" w:hAnsi="Times New Roman"/>
          <w:bCs/>
          <w:sz w:val="24"/>
          <w:szCs w:val="24"/>
        </w:rPr>
        <w:t>devono essere inoltre adottate procedure per verificare che siano stati rispettati i criteri per la concessione dell’aiuto e</w:t>
      </w:r>
      <w:r w:rsidR="009B7CE6">
        <w:rPr>
          <w:rFonts w:ascii="Times New Roman" w:hAnsi="Times New Roman"/>
          <w:bCs/>
          <w:sz w:val="24"/>
          <w:szCs w:val="24"/>
        </w:rPr>
        <w:t xml:space="preserve"> </w:t>
      </w:r>
      <w:r>
        <w:rPr>
          <w:rFonts w:ascii="Times New Roman" w:hAnsi="Times New Roman"/>
          <w:bCs/>
          <w:sz w:val="24"/>
          <w:szCs w:val="24"/>
        </w:rPr>
        <w:t>la normativa comunitaria applicabile, in particolare in materia di appalti pubblici e tutela dell’ambiente;</w:t>
      </w:r>
    </w:p>
    <w:p w:rsidR="008E1E2A" w:rsidRPr="00E63330" w:rsidRDefault="0096592E" w:rsidP="001C2866">
      <w:pPr>
        <w:numPr>
          <w:ilvl w:val="1"/>
          <w:numId w:val="45"/>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 dirigenti dell’organismo pagatore, al livello adeguato, vengono informati regolarmente e tempestivamente dei risultati</w:t>
      </w:r>
      <w:r w:rsidR="009B7CE6">
        <w:rPr>
          <w:rFonts w:ascii="Times New Roman" w:hAnsi="Times New Roman"/>
          <w:bCs/>
          <w:sz w:val="24"/>
          <w:szCs w:val="24"/>
        </w:rPr>
        <w:t xml:space="preserve"> </w:t>
      </w:r>
      <w:r>
        <w:rPr>
          <w:rFonts w:ascii="Times New Roman" w:hAnsi="Times New Roman"/>
          <w:bCs/>
          <w:sz w:val="24"/>
          <w:szCs w:val="24"/>
        </w:rPr>
        <w:t>dei controlli effettuati, perché possano tenere conto in ogni momento dell’adeguatezza dei controlli stessi prima di dare</w:t>
      </w:r>
      <w:r w:rsidR="009B7CE6">
        <w:rPr>
          <w:rFonts w:ascii="Times New Roman" w:hAnsi="Times New Roman"/>
          <w:bCs/>
          <w:sz w:val="24"/>
          <w:szCs w:val="24"/>
        </w:rPr>
        <w:t xml:space="preserve"> </w:t>
      </w:r>
      <w:r>
        <w:rPr>
          <w:rFonts w:ascii="Times New Roman" w:hAnsi="Times New Roman"/>
          <w:bCs/>
          <w:sz w:val="24"/>
          <w:szCs w:val="24"/>
        </w:rPr>
        <w:t>seguito a una domanda;</w:t>
      </w:r>
    </w:p>
    <w:p w:rsidR="008E1E2A" w:rsidRPr="00E63330" w:rsidRDefault="0096592E" w:rsidP="001C2866">
      <w:pPr>
        <w:numPr>
          <w:ilvl w:val="1"/>
          <w:numId w:val="45"/>
        </w:numPr>
        <w:autoSpaceDE w:val="0"/>
        <w:autoSpaceDN w:val="0"/>
        <w:adjustRightInd w:val="0"/>
        <w:spacing w:after="0"/>
        <w:ind w:left="426" w:hanging="426"/>
        <w:jc w:val="both"/>
        <w:rPr>
          <w:rFonts w:ascii="Times New Roman" w:hAnsi="Times New Roman"/>
          <w:bCs/>
          <w:sz w:val="24"/>
          <w:szCs w:val="24"/>
        </w:rPr>
      </w:pPr>
      <w:r>
        <w:rPr>
          <w:rFonts w:ascii="Times New Roman" w:hAnsi="Times New Roman"/>
          <w:bCs/>
          <w:sz w:val="24"/>
          <w:szCs w:val="24"/>
        </w:rPr>
        <w:t>il lavoro svolto è descritto dettagliatamente in una relazione che accompagna ogni domanda o gruppo di domande o,</w:t>
      </w:r>
      <w:r w:rsidR="009B7CE6">
        <w:rPr>
          <w:rFonts w:ascii="Times New Roman" w:hAnsi="Times New Roman"/>
          <w:bCs/>
          <w:sz w:val="24"/>
          <w:szCs w:val="24"/>
        </w:rPr>
        <w:t xml:space="preserve"> </w:t>
      </w:r>
      <w:r>
        <w:rPr>
          <w:rFonts w:ascii="Times New Roman" w:hAnsi="Times New Roman"/>
          <w:bCs/>
          <w:sz w:val="24"/>
          <w:szCs w:val="24"/>
        </w:rPr>
        <w:t>se del caso, che copre un’intera campagna. La relazione è corredata di un attestato di ammissibilità delle domande</w:t>
      </w:r>
      <w:r w:rsidR="009B7CE6">
        <w:rPr>
          <w:rFonts w:ascii="Times New Roman" w:hAnsi="Times New Roman"/>
          <w:bCs/>
          <w:sz w:val="24"/>
          <w:szCs w:val="24"/>
        </w:rPr>
        <w:t xml:space="preserve"> </w:t>
      </w:r>
      <w:r>
        <w:rPr>
          <w:rFonts w:ascii="Times New Roman" w:hAnsi="Times New Roman"/>
          <w:bCs/>
          <w:sz w:val="24"/>
          <w:szCs w:val="24"/>
        </w:rPr>
        <w:t>approvate e della natura, della portata e dei limiti del lavoro svolto. Per quanto riguarda il FEASR, deve essere inoltre</w:t>
      </w:r>
      <w:r w:rsidR="009B7CE6">
        <w:rPr>
          <w:rFonts w:ascii="Times New Roman" w:hAnsi="Times New Roman"/>
          <w:bCs/>
          <w:sz w:val="24"/>
          <w:szCs w:val="24"/>
        </w:rPr>
        <w:t xml:space="preserve"> </w:t>
      </w:r>
      <w:r>
        <w:rPr>
          <w:rFonts w:ascii="Times New Roman" w:hAnsi="Times New Roman"/>
          <w:bCs/>
          <w:sz w:val="24"/>
          <w:szCs w:val="24"/>
        </w:rPr>
        <w:t>garantito che sono stati rispettati i criteri per la concessione dell’aiuto e la normativa comunitaria applicabile, in particolare</w:t>
      </w:r>
      <w:r w:rsidR="009B7CE6">
        <w:rPr>
          <w:rFonts w:ascii="Times New Roman" w:hAnsi="Times New Roman"/>
          <w:bCs/>
          <w:sz w:val="24"/>
          <w:szCs w:val="24"/>
        </w:rPr>
        <w:t xml:space="preserve"> </w:t>
      </w:r>
      <w:r>
        <w:rPr>
          <w:rFonts w:ascii="Times New Roman" w:hAnsi="Times New Roman"/>
          <w:bCs/>
          <w:sz w:val="24"/>
          <w:szCs w:val="24"/>
        </w:rPr>
        <w:t>in materia di appalti pubblici e tutela dell’ambiente. Se i controlli fisici o amministrativi non sono esaustivi ma</w:t>
      </w:r>
      <w:r w:rsidR="009B7CE6">
        <w:rPr>
          <w:rFonts w:ascii="Times New Roman" w:hAnsi="Times New Roman"/>
          <w:bCs/>
          <w:sz w:val="24"/>
          <w:szCs w:val="24"/>
        </w:rPr>
        <w:t xml:space="preserve"> </w:t>
      </w:r>
      <w:r>
        <w:rPr>
          <w:rFonts w:ascii="Times New Roman" w:hAnsi="Times New Roman"/>
          <w:bCs/>
          <w:sz w:val="24"/>
          <w:szCs w:val="24"/>
        </w:rPr>
        <w:t>a campione, le domande selezionate devono essere identificate e deve essere descritto il metodo di campionamento nonché</w:t>
      </w:r>
      <w:r w:rsidR="009B7CE6">
        <w:rPr>
          <w:rFonts w:ascii="Times New Roman" w:hAnsi="Times New Roman"/>
          <w:bCs/>
          <w:sz w:val="24"/>
          <w:szCs w:val="24"/>
        </w:rPr>
        <w:t xml:space="preserve"> </w:t>
      </w:r>
      <w:r>
        <w:rPr>
          <w:rFonts w:ascii="Times New Roman" w:hAnsi="Times New Roman"/>
          <w:bCs/>
          <w:sz w:val="24"/>
          <w:szCs w:val="24"/>
        </w:rPr>
        <w:t>i risultati di tutte le ispezioni e le misure adottate in relazione alle discrepanze e irregolarità riscontrate. I giustificativi</w:t>
      </w:r>
      <w:r w:rsidR="009B7CE6">
        <w:rPr>
          <w:rFonts w:ascii="Times New Roman" w:hAnsi="Times New Roman"/>
          <w:bCs/>
          <w:sz w:val="24"/>
          <w:szCs w:val="24"/>
        </w:rPr>
        <w:t xml:space="preserve"> </w:t>
      </w:r>
      <w:r>
        <w:rPr>
          <w:rFonts w:ascii="Times New Roman" w:hAnsi="Times New Roman"/>
          <w:bCs/>
          <w:sz w:val="24"/>
          <w:szCs w:val="24"/>
        </w:rPr>
        <w:t>devono essere sufficienti per garantire che sono stati effettuati tutti i controlli necessari in merito all’ammissibilità</w:t>
      </w:r>
      <w:r w:rsidR="009B7CE6">
        <w:rPr>
          <w:rFonts w:ascii="Times New Roman" w:hAnsi="Times New Roman"/>
          <w:bCs/>
          <w:sz w:val="24"/>
          <w:szCs w:val="24"/>
        </w:rPr>
        <w:t xml:space="preserve"> </w:t>
      </w:r>
      <w:r>
        <w:rPr>
          <w:rFonts w:ascii="Times New Roman" w:hAnsi="Times New Roman"/>
          <w:bCs/>
          <w:sz w:val="24"/>
          <w:szCs w:val="24"/>
        </w:rPr>
        <w:t>delle domande autorizzate;</w:t>
      </w:r>
    </w:p>
    <w:p w:rsidR="002B4734" w:rsidRPr="00E63330" w:rsidRDefault="002B4734" w:rsidP="001C2866">
      <w:pPr>
        <w:autoSpaceDE w:val="0"/>
        <w:autoSpaceDN w:val="0"/>
        <w:adjustRightInd w:val="0"/>
        <w:spacing w:after="0"/>
        <w:ind w:left="426" w:hanging="426"/>
        <w:jc w:val="both"/>
        <w:rPr>
          <w:rFonts w:ascii="Times New Roman" w:hAnsi="Times New Roman"/>
          <w:bCs/>
          <w:sz w:val="24"/>
          <w:szCs w:val="24"/>
        </w:rPr>
      </w:pPr>
    </w:p>
    <w:p w:rsidR="008E1E2A" w:rsidRPr="00E63330" w:rsidRDefault="0096592E" w:rsidP="001C2866">
      <w:pPr>
        <w:numPr>
          <w:ilvl w:val="1"/>
          <w:numId w:val="45"/>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qualora i documenti (in formato cartaceo o elettronico) relativi alle domande autorizzate e ai controlli effettuati vengano</w:t>
      </w:r>
      <w:r w:rsidR="009B7CE6">
        <w:rPr>
          <w:rFonts w:ascii="Times New Roman" w:hAnsi="Times New Roman"/>
          <w:bCs/>
          <w:sz w:val="24"/>
          <w:szCs w:val="24"/>
        </w:rPr>
        <w:t xml:space="preserve"> </w:t>
      </w:r>
      <w:r>
        <w:rPr>
          <w:rFonts w:ascii="Times New Roman" w:hAnsi="Times New Roman"/>
          <w:bCs/>
          <w:sz w:val="24"/>
          <w:szCs w:val="24"/>
        </w:rPr>
        <w:t>conservati da altri organismi, questi ultimi e l’organismo pagatore devono mettere a punto procedure che consentano</w:t>
      </w:r>
      <w:r w:rsidR="009B7CE6">
        <w:rPr>
          <w:rFonts w:ascii="Times New Roman" w:hAnsi="Times New Roman"/>
          <w:bCs/>
          <w:sz w:val="24"/>
          <w:szCs w:val="24"/>
        </w:rPr>
        <w:t xml:space="preserve"> </w:t>
      </w:r>
      <w:r>
        <w:rPr>
          <w:rFonts w:ascii="Times New Roman" w:hAnsi="Times New Roman"/>
          <w:bCs/>
          <w:sz w:val="24"/>
          <w:szCs w:val="24"/>
        </w:rPr>
        <w:t>di registrare l’ubicazione di tutti i documenti pertinenti ai pagamenti specifici effettuati dall’organismo pagatore.</w:t>
      </w: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Procedure di pagamento</w:t>
      </w:r>
    </w:p>
    <w:p w:rsidR="008E1E2A" w:rsidRPr="00E63330" w:rsidRDefault="0096592E" w:rsidP="00737F86">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necessarie procedure per garantire che i pagamenti siano versati esclusivamente sul conto</w:t>
      </w:r>
      <w:r w:rsidR="009B7CE6">
        <w:rPr>
          <w:rFonts w:ascii="Times New Roman" w:hAnsi="Times New Roman"/>
          <w:bCs/>
          <w:sz w:val="24"/>
          <w:szCs w:val="24"/>
        </w:rPr>
        <w:t xml:space="preserve"> </w:t>
      </w:r>
      <w:r>
        <w:rPr>
          <w:rFonts w:ascii="Times New Roman" w:hAnsi="Times New Roman"/>
          <w:bCs/>
          <w:sz w:val="24"/>
          <w:szCs w:val="24"/>
        </w:rPr>
        <w:t>bancario del richiedente e del suo rappresentante. Il pagamento viene erogato dall’istituto bancario dell’Agenzia entro cinque giorni lavorativi dalla data di imputazione a carico del</w:t>
      </w:r>
      <w:r w:rsidR="009B7CE6">
        <w:rPr>
          <w:rFonts w:ascii="Times New Roman" w:hAnsi="Times New Roman"/>
          <w:bCs/>
          <w:sz w:val="24"/>
          <w:szCs w:val="24"/>
        </w:rPr>
        <w:t xml:space="preserve"> </w:t>
      </w:r>
      <w:r>
        <w:rPr>
          <w:rFonts w:ascii="Times New Roman" w:hAnsi="Times New Roman"/>
          <w:bCs/>
          <w:sz w:val="24"/>
          <w:szCs w:val="24"/>
        </w:rPr>
        <w:t>FEAGA o del FEASR. Sono adottate procedure intese a garantire che tutti i pagamenti per i quali non vengono effettuati trasferimenti</w:t>
      </w:r>
      <w:r w:rsidR="009B7CE6">
        <w:rPr>
          <w:rFonts w:ascii="Times New Roman" w:hAnsi="Times New Roman"/>
          <w:bCs/>
          <w:sz w:val="24"/>
          <w:szCs w:val="24"/>
        </w:rPr>
        <w:t xml:space="preserve"> </w:t>
      </w:r>
      <w:r>
        <w:rPr>
          <w:rFonts w:ascii="Times New Roman" w:hAnsi="Times New Roman"/>
          <w:bCs/>
          <w:sz w:val="24"/>
          <w:szCs w:val="24"/>
        </w:rPr>
        <w:t xml:space="preserve">siano nuovamente accreditati ai Fondi. </w:t>
      </w: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C) Procedure di contabilità</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rsidR="008E1E2A" w:rsidRPr="00E63330" w:rsidRDefault="0096592E" w:rsidP="00942E2C">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procedure contabili per garantire che le dichiarazioni mensili, trimestrali (per il FEASR) o annuali siano complete, esatte</w:t>
      </w:r>
      <w:r w:rsidR="009B7CE6">
        <w:rPr>
          <w:rFonts w:ascii="Times New Roman" w:hAnsi="Times New Roman"/>
          <w:bCs/>
          <w:sz w:val="24"/>
          <w:szCs w:val="24"/>
        </w:rPr>
        <w:t xml:space="preserve"> </w:t>
      </w:r>
      <w:r>
        <w:rPr>
          <w:rFonts w:ascii="Times New Roman" w:hAnsi="Times New Roman"/>
          <w:bCs/>
          <w:sz w:val="24"/>
          <w:szCs w:val="24"/>
        </w:rPr>
        <w:t>e presentate entro i termini previsti e che eventuali errori od omissioni siano individuati e corretti in particolare</w:t>
      </w:r>
      <w:r w:rsidR="009B7CE6">
        <w:rPr>
          <w:rFonts w:ascii="Times New Roman" w:hAnsi="Times New Roman"/>
          <w:bCs/>
          <w:sz w:val="24"/>
          <w:szCs w:val="24"/>
        </w:rPr>
        <w:t xml:space="preserve"> </w:t>
      </w:r>
      <w:r>
        <w:rPr>
          <w:rFonts w:ascii="Times New Roman" w:hAnsi="Times New Roman"/>
          <w:bCs/>
          <w:sz w:val="24"/>
          <w:szCs w:val="24"/>
        </w:rPr>
        <w:t>mediante controlli e verifiche effettuati periodicamente;</w:t>
      </w: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D) Procedure in materia di anticipi e cauzioni</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 pagamenti degli anticipi sono indicati separatamente nelle registrazioni contabili o secondarie. Devono essere adottate procedure</w:t>
      </w:r>
      <w:r w:rsidR="009B7CE6">
        <w:rPr>
          <w:rFonts w:ascii="Times New Roman" w:hAnsi="Times New Roman"/>
          <w:bCs/>
          <w:sz w:val="24"/>
          <w:szCs w:val="24"/>
        </w:rPr>
        <w:t xml:space="preserve"> </w:t>
      </w:r>
      <w:r>
        <w:rPr>
          <w:rFonts w:ascii="Times New Roman" w:hAnsi="Times New Roman"/>
          <w:bCs/>
          <w:sz w:val="24"/>
          <w:szCs w:val="24"/>
        </w:rPr>
        <w:t>per assicurare che:</w:t>
      </w:r>
    </w:p>
    <w:p w:rsidR="008E1E2A" w:rsidRPr="00E63330" w:rsidRDefault="0096592E" w:rsidP="00942E2C">
      <w:pPr>
        <w:numPr>
          <w:ilvl w:val="1"/>
          <w:numId w:val="47"/>
        </w:numPr>
        <w:autoSpaceDE w:val="0"/>
        <w:autoSpaceDN w:val="0"/>
        <w:adjustRightInd w:val="0"/>
        <w:jc w:val="both"/>
        <w:rPr>
          <w:rFonts w:ascii="Times New Roman" w:hAnsi="Times New Roman"/>
          <w:bCs/>
          <w:sz w:val="24"/>
          <w:szCs w:val="24"/>
        </w:rPr>
      </w:pPr>
      <w:r>
        <w:rPr>
          <w:rFonts w:ascii="Times New Roman" w:hAnsi="Times New Roman"/>
          <w:bCs/>
          <w:sz w:val="24"/>
          <w:szCs w:val="24"/>
        </w:rPr>
        <w:t>le garanzie vengano fornite esclusivamente da istituti finanziari che soddisfano le condizioni di cui al regolamento (CEE)n. 2220/85 della Commissione e che sono stati riconosciuti dalle autorità competenti. Le garanzie rimangono valide</w:t>
      </w:r>
      <w:r w:rsidR="009B7CE6">
        <w:rPr>
          <w:rFonts w:ascii="Times New Roman" w:hAnsi="Times New Roman"/>
          <w:bCs/>
          <w:sz w:val="24"/>
          <w:szCs w:val="24"/>
        </w:rPr>
        <w:t xml:space="preserve"> </w:t>
      </w:r>
      <w:r>
        <w:rPr>
          <w:rFonts w:ascii="Times New Roman" w:hAnsi="Times New Roman"/>
          <w:bCs/>
          <w:sz w:val="24"/>
          <w:szCs w:val="24"/>
        </w:rPr>
        <w:t>sino a liquidazione o incameramento avvenuti e sono esigibili su semplice richiesta dell’organismo;</w:t>
      </w:r>
    </w:p>
    <w:p w:rsidR="008E1E2A" w:rsidRPr="00E63330" w:rsidRDefault="0096592E" w:rsidP="00942E2C">
      <w:pPr>
        <w:numPr>
          <w:ilvl w:val="1"/>
          <w:numId w:val="47"/>
        </w:numPr>
        <w:autoSpaceDE w:val="0"/>
        <w:autoSpaceDN w:val="0"/>
        <w:adjustRightInd w:val="0"/>
        <w:jc w:val="both"/>
        <w:rPr>
          <w:rFonts w:ascii="Times New Roman" w:hAnsi="Times New Roman"/>
          <w:bCs/>
          <w:sz w:val="24"/>
          <w:szCs w:val="24"/>
        </w:rPr>
      </w:pPr>
      <w:r>
        <w:rPr>
          <w:rFonts w:ascii="Times New Roman" w:hAnsi="Times New Roman"/>
          <w:bCs/>
          <w:sz w:val="24"/>
          <w:szCs w:val="24"/>
        </w:rPr>
        <w:t>gli anticipi vengano liquidati nei termini stabiliti e gli anticipi in ritardo per la liquidazione vengano identificati e le cauzioni</w:t>
      </w:r>
      <w:r w:rsidR="009B7CE6">
        <w:rPr>
          <w:rFonts w:ascii="Times New Roman" w:hAnsi="Times New Roman"/>
          <w:bCs/>
          <w:sz w:val="24"/>
          <w:szCs w:val="24"/>
        </w:rPr>
        <w:t xml:space="preserve"> </w:t>
      </w:r>
      <w:r>
        <w:rPr>
          <w:rFonts w:ascii="Times New Roman" w:hAnsi="Times New Roman"/>
          <w:bCs/>
          <w:sz w:val="24"/>
          <w:szCs w:val="24"/>
        </w:rPr>
        <w:t>prontamente incamerate.</w:t>
      </w:r>
    </w:p>
    <w:p w:rsidR="00E9046B" w:rsidRPr="00E63330" w:rsidRDefault="00E9046B" w:rsidP="008E1E2A">
      <w:pPr>
        <w:autoSpaceDE w:val="0"/>
        <w:autoSpaceDN w:val="0"/>
        <w:adjustRightInd w:val="0"/>
        <w:jc w:val="both"/>
        <w:rPr>
          <w:rFonts w:ascii="Times New Roman" w:hAnsi="Times New Roman"/>
          <w:bCs/>
          <w:sz w:val="2"/>
          <w:szCs w:val="24"/>
        </w:rPr>
      </w:pP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E) Procedure in caso di debiti</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Tutti i criteri di cui ai punti da A) a D) si applicano, anche, ai prelievi, alle cauzioni incamerate, ai pagamenti</w:t>
      </w:r>
      <w:r w:rsidR="009B7CE6">
        <w:rPr>
          <w:rFonts w:ascii="Times New Roman" w:hAnsi="Times New Roman"/>
          <w:bCs/>
          <w:sz w:val="24"/>
          <w:szCs w:val="24"/>
        </w:rPr>
        <w:t xml:space="preserve"> </w:t>
      </w:r>
      <w:r>
        <w:rPr>
          <w:rFonts w:ascii="Times New Roman" w:hAnsi="Times New Roman"/>
          <w:bCs/>
          <w:sz w:val="24"/>
          <w:szCs w:val="24"/>
        </w:rPr>
        <w:t>rimborsati, alle entrate con destinazione specifica, ecc., che l’organismo pagatore è tenuto a riscuotere per conto del FEAGA</w:t>
      </w:r>
      <w:r w:rsidR="0074533F">
        <w:rPr>
          <w:rFonts w:ascii="Times New Roman" w:hAnsi="Times New Roman"/>
          <w:bCs/>
          <w:sz w:val="24"/>
          <w:szCs w:val="24"/>
        </w:rPr>
        <w:t xml:space="preserve"> </w:t>
      </w:r>
      <w:r>
        <w:rPr>
          <w:rFonts w:ascii="Times New Roman" w:hAnsi="Times New Roman"/>
          <w:bCs/>
          <w:sz w:val="24"/>
          <w:szCs w:val="24"/>
        </w:rPr>
        <w:t>e del FEASR.</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istituire un sistema per individuare tutti gli importi dovuti e per registrare in un registro dei debitori</w:t>
      </w:r>
      <w:r w:rsidR="009B7CE6">
        <w:rPr>
          <w:rFonts w:ascii="Times New Roman" w:hAnsi="Times New Roman"/>
          <w:bCs/>
          <w:sz w:val="24"/>
          <w:szCs w:val="24"/>
        </w:rPr>
        <w:t xml:space="preserve"> </w:t>
      </w:r>
      <w:r>
        <w:rPr>
          <w:rFonts w:ascii="Times New Roman" w:hAnsi="Times New Roman"/>
          <w:bCs/>
          <w:sz w:val="24"/>
          <w:szCs w:val="24"/>
        </w:rPr>
        <w:t>tutti i debiti prima che vengano riscossi. Il registro dei debitori deve essere ispezionato a intervalli regolari, adottando le</w:t>
      </w:r>
      <w:r w:rsidR="009B7CE6">
        <w:rPr>
          <w:rFonts w:ascii="Times New Roman" w:hAnsi="Times New Roman"/>
          <w:bCs/>
          <w:sz w:val="24"/>
          <w:szCs w:val="24"/>
        </w:rPr>
        <w:t xml:space="preserve"> </w:t>
      </w:r>
      <w:r>
        <w:rPr>
          <w:rFonts w:ascii="Times New Roman" w:hAnsi="Times New Roman"/>
          <w:bCs/>
          <w:sz w:val="24"/>
          <w:szCs w:val="24"/>
        </w:rPr>
        <w:t>misure necessarie qualora vi siano ritardi nel recupero degli importi dovuti.</w:t>
      </w: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F) Pista di controllo</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informazioni relative ai documenti che attestano l’autorizzazione, la contabilizzazione e il pagamento delle domande di</w:t>
      </w:r>
      <w:r w:rsidR="009B7CE6">
        <w:rPr>
          <w:rFonts w:ascii="Times New Roman" w:hAnsi="Times New Roman"/>
          <w:bCs/>
          <w:sz w:val="24"/>
          <w:szCs w:val="24"/>
        </w:rPr>
        <w:t xml:space="preserve"> </w:t>
      </w:r>
      <w:r>
        <w:rPr>
          <w:rFonts w:ascii="Times New Roman" w:hAnsi="Times New Roman"/>
          <w:bCs/>
          <w:sz w:val="24"/>
          <w:szCs w:val="24"/>
        </w:rPr>
        <w:t>aiuto, nonché alla gestione degli anticipi, delle garanzie e dei debiti devono essere disponibili presso ARCEA per assicurare in ogni momento una pista di controllo sufficientemente dettagliata.</w:t>
      </w:r>
    </w:p>
    <w:p w:rsidR="008E1E2A" w:rsidRPr="00E63330" w:rsidRDefault="0096592E" w:rsidP="00DE3766">
      <w:pPr>
        <w:pStyle w:val="Titolo3"/>
      </w:pPr>
      <w:bookmarkStart w:id="40" w:name="_Toc1046944"/>
      <w:r w:rsidRPr="003C3367">
        <w:t>III. Informazione e comunicazioni</w:t>
      </w:r>
      <w:bookmarkEnd w:id="40"/>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Comunicazioni</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necessarie procedure per garantire che qualsiasi modifica dei regolamenti comunitari, in particolare</w:t>
      </w:r>
      <w:r w:rsidR="009B7CE6">
        <w:rPr>
          <w:rFonts w:ascii="Times New Roman" w:hAnsi="Times New Roman"/>
          <w:bCs/>
          <w:sz w:val="24"/>
          <w:szCs w:val="24"/>
        </w:rPr>
        <w:t xml:space="preserve"> </w:t>
      </w:r>
      <w:r>
        <w:rPr>
          <w:rFonts w:ascii="Times New Roman" w:hAnsi="Times New Roman"/>
          <w:bCs/>
          <w:sz w:val="24"/>
          <w:szCs w:val="24"/>
        </w:rPr>
        <w:t>del tasso dell’aiuto applicabile, venga registrata e che le istruzioni, le banche dati e gli elenchi di controllo vengano</w:t>
      </w:r>
      <w:r w:rsidR="009B7CE6">
        <w:rPr>
          <w:rFonts w:ascii="Times New Roman" w:hAnsi="Times New Roman"/>
          <w:bCs/>
          <w:sz w:val="24"/>
          <w:szCs w:val="24"/>
        </w:rPr>
        <w:t xml:space="preserve"> </w:t>
      </w:r>
      <w:r>
        <w:rPr>
          <w:rFonts w:ascii="Times New Roman" w:hAnsi="Times New Roman"/>
          <w:bCs/>
          <w:sz w:val="24"/>
          <w:szCs w:val="24"/>
        </w:rPr>
        <w:t>aggiornati in tempo utile.</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i/>
          <w:sz w:val="24"/>
          <w:szCs w:val="24"/>
        </w:rPr>
        <w:t>B) Sicurezza dei sistemi di informazione</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L’ARCEA, sulla base di quanto previsto dall’Allegato “1” del Reg. (CE) n. 907/2014, ha aderito allo standard di sicurezza internazionale ISO 27002.L’Agenzia deve assicurare che le misure di sicurezza intraprese siano adeguate alla struttura amministrativa, al personale e all’ambiente </w:t>
      </w:r>
      <w:r>
        <w:rPr>
          <w:rFonts w:ascii="Times New Roman" w:hAnsi="Times New Roman"/>
          <w:bCs/>
          <w:sz w:val="24"/>
          <w:szCs w:val="24"/>
        </w:rPr>
        <w:lastRenderedPageBreak/>
        <w:t>tecnologico di propria pertinenza. Lo sforzo finanziario e tecnologico deve inoltre essere proporzionale ai rischi effettivi.</w:t>
      </w:r>
    </w:p>
    <w:p w:rsidR="008E1E2A" w:rsidRPr="00E63330" w:rsidRDefault="0096592E" w:rsidP="00DE3766">
      <w:pPr>
        <w:pStyle w:val="Titolo3"/>
      </w:pPr>
      <w:bookmarkStart w:id="41" w:name="_Toc1046945"/>
      <w:r w:rsidRPr="003C3367">
        <w:t>IV. Monitoraggio</w:t>
      </w:r>
      <w:bookmarkEnd w:id="41"/>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Monitoraggio continuo mediante attività di controllo interne</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attività di controllo interne svolte dall’ARCEA devono interessare quantomeno i seguenti settori:</w:t>
      </w:r>
    </w:p>
    <w:p w:rsidR="008E1E2A" w:rsidRPr="00E63330" w:rsidRDefault="0096592E" w:rsidP="00942E2C">
      <w:pPr>
        <w:numPr>
          <w:ilvl w:val="1"/>
          <w:numId w:val="48"/>
        </w:numPr>
        <w:autoSpaceDE w:val="0"/>
        <w:autoSpaceDN w:val="0"/>
        <w:adjustRightInd w:val="0"/>
        <w:jc w:val="both"/>
        <w:rPr>
          <w:rFonts w:ascii="Times New Roman" w:hAnsi="Times New Roman"/>
          <w:bCs/>
          <w:sz w:val="24"/>
          <w:szCs w:val="24"/>
        </w:rPr>
      </w:pPr>
      <w:r>
        <w:rPr>
          <w:rFonts w:ascii="Times New Roman" w:hAnsi="Times New Roman"/>
          <w:bCs/>
          <w:sz w:val="24"/>
          <w:szCs w:val="24"/>
        </w:rPr>
        <w:t>monitoraggio dei servizi tecnici e degli organismi delegati responsabili dell’esecuzione dei controlli e di altre funzioni,</w:t>
      </w:r>
      <w:r w:rsidR="009B7CE6">
        <w:rPr>
          <w:rFonts w:ascii="Times New Roman" w:hAnsi="Times New Roman"/>
          <w:bCs/>
          <w:sz w:val="24"/>
          <w:szCs w:val="24"/>
        </w:rPr>
        <w:t xml:space="preserve"> </w:t>
      </w:r>
      <w:r>
        <w:rPr>
          <w:rFonts w:ascii="Times New Roman" w:hAnsi="Times New Roman"/>
          <w:bCs/>
          <w:sz w:val="24"/>
          <w:szCs w:val="24"/>
        </w:rPr>
        <w:t>finalizzato a garantire un’attuazione adeguata di regolamenti, orientamenti e procedure;</w:t>
      </w:r>
    </w:p>
    <w:p w:rsidR="008E1E2A" w:rsidRPr="00E63330" w:rsidRDefault="0096592E" w:rsidP="00942E2C">
      <w:pPr>
        <w:numPr>
          <w:ilvl w:val="1"/>
          <w:numId w:val="48"/>
        </w:numPr>
        <w:autoSpaceDE w:val="0"/>
        <w:autoSpaceDN w:val="0"/>
        <w:adjustRightInd w:val="0"/>
        <w:jc w:val="both"/>
        <w:rPr>
          <w:rFonts w:ascii="Times New Roman" w:hAnsi="Times New Roman"/>
          <w:bCs/>
          <w:sz w:val="24"/>
          <w:szCs w:val="24"/>
        </w:rPr>
      </w:pPr>
      <w:r>
        <w:rPr>
          <w:rFonts w:ascii="Times New Roman" w:hAnsi="Times New Roman"/>
          <w:bCs/>
          <w:sz w:val="24"/>
          <w:szCs w:val="24"/>
        </w:rPr>
        <w:t>esecuzione di modifiche dei sistemi per migliorare i sistemi di controllo nella loro globalità;</w:t>
      </w:r>
    </w:p>
    <w:p w:rsidR="008E1E2A" w:rsidRPr="00E63330" w:rsidRDefault="0096592E" w:rsidP="00942E2C">
      <w:pPr>
        <w:numPr>
          <w:ilvl w:val="1"/>
          <w:numId w:val="48"/>
        </w:numPr>
        <w:autoSpaceDE w:val="0"/>
        <w:autoSpaceDN w:val="0"/>
        <w:adjustRightInd w:val="0"/>
        <w:jc w:val="both"/>
        <w:rPr>
          <w:rFonts w:ascii="Times New Roman" w:hAnsi="Times New Roman"/>
          <w:bCs/>
          <w:sz w:val="24"/>
          <w:szCs w:val="24"/>
        </w:rPr>
      </w:pPr>
      <w:r>
        <w:rPr>
          <w:rFonts w:ascii="Times New Roman" w:hAnsi="Times New Roman"/>
          <w:bCs/>
          <w:sz w:val="24"/>
          <w:szCs w:val="24"/>
        </w:rPr>
        <w:t>revisione delle domande di pagamento e delle richieste inoltrate all’organismo pagatore, nonché di altre informazioni</w:t>
      </w:r>
      <w:r w:rsidR="009B7CE6">
        <w:rPr>
          <w:rFonts w:ascii="Times New Roman" w:hAnsi="Times New Roman"/>
          <w:bCs/>
          <w:sz w:val="24"/>
          <w:szCs w:val="24"/>
        </w:rPr>
        <w:t xml:space="preserve"> </w:t>
      </w:r>
      <w:r>
        <w:rPr>
          <w:rFonts w:ascii="Times New Roman" w:hAnsi="Times New Roman"/>
          <w:bCs/>
          <w:sz w:val="24"/>
          <w:szCs w:val="24"/>
        </w:rPr>
        <w:t>che diano adito a sospetti di irregolarità.</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Il monitoraggio continuo è parte integrante delle normali e ricorrenti attività operative dell’organismo pagatore. A tutti i</w:t>
      </w:r>
      <w:r w:rsidR="009B7CE6">
        <w:rPr>
          <w:rFonts w:ascii="Times New Roman" w:hAnsi="Times New Roman"/>
          <w:bCs/>
          <w:sz w:val="24"/>
          <w:szCs w:val="24"/>
        </w:rPr>
        <w:t xml:space="preserve"> </w:t>
      </w:r>
      <w:r>
        <w:rPr>
          <w:rFonts w:ascii="Times New Roman" w:hAnsi="Times New Roman"/>
          <w:bCs/>
          <w:sz w:val="24"/>
          <w:szCs w:val="24"/>
        </w:rPr>
        <w:t>livelli, le operazioni quotidiane e le attività di controllo dell’organismo pagatore sono monitorate costantemente per assicurare</w:t>
      </w:r>
      <w:r w:rsidR="009B7CE6">
        <w:rPr>
          <w:rFonts w:ascii="Times New Roman" w:hAnsi="Times New Roman"/>
          <w:bCs/>
          <w:sz w:val="24"/>
          <w:szCs w:val="24"/>
        </w:rPr>
        <w:t xml:space="preserve"> </w:t>
      </w:r>
      <w:r>
        <w:rPr>
          <w:rFonts w:ascii="Times New Roman" w:hAnsi="Times New Roman"/>
          <w:bCs/>
          <w:sz w:val="24"/>
          <w:szCs w:val="24"/>
        </w:rPr>
        <w:t>una pista di controllo sufficientemente dettagliata.</w:t>
      </w:r>
    </w:p>
    <w:p w:rsidR="003C17A1" w:rsidRPr="00E63330" w:rsidRDefault="003C17A1" w:rsidP="008E1E2A">
      <w:pPr>
        <w:autoSpaceDE w:val="0"/>
        <w:autoSpaceDN w:val="0"/>
        <w:adjustRightInd w:val="0"/>
        <w:jc w:val="both"/>
        <w:rPr>
          <w:rFonts w:ascii="Times New Roman" w:hAnsi="Times New Roman"/>
          <w:bCs/>
          <w:sz w:val="24"/>
          <w:szCs w:val="24"/>
        </w:rPr>
      </w:pPr>
    </w:p>
    <w:p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Valutazione distinta da parte del servizio interno di controllo</w:t>
      </w:r>
    </w:p>
    <w:p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in tale ambito le seguenti procedure:</w:t>
      </w:r>
    </w:p>
    <w:p w:rsidR="008E1E2A" w:rsidRPr="00E63330" w:rsidRDefault="0096592E" w:rsidP="00942E2C">
      <w:pPr>
        <w:numPr>
          <w:ilvl w:val="1"/>
          <w:numId w:val="49"/>
        </w:numPr>
        <w:autoSpaceDE w:val="0"/>
        <w:autoSpaceDN w:val="0"/>
        <w:adjustRightInd w:val="0"/>
        <w:jc w:val="both"/>
        <w:rPr>
          <w:rFonts w:ascii="Times New Roman" w:hAnsi="Times New Roman"/>
          <w:bCs/>
          <w:sz w:val="24"/>
          <w:szCs w:val="24"/>
        </w:rPr>
      </w:pPr>
      <w:r>
        <w:rPr>
          <w:rFonts w:ascii="Times New Roman" w:hAnsi="Times New Roman"/>
          <w:bCs/>
          <w:sz w:val="24"/>
          <w:szCs w:val="24"/>
        </w:rPr>
        <w:t>il servizio di controllo interno è indipendente dagli altri servizi dell’organismo stesso e deve riferire al Direttore</w:t>
      </w:r>
      <w:r w:rsidR="009B7CE6">
        <w:rPr>
          <w:rFonts w:ascii="Times New Roman" w:hAnsi="Times New Roman"/>
          <w:bCs/>
          <w:sz w:val="24"/>
          <w:szCs w:val="24"/>
        </w:rPr>
        <w:t xml:space="preserve"> </w:t>
      </w:r>
      <w:r>
        <w:rPr>
          <w:rFonts w:ascii="Times New Roman" w:hAnsi="Times New Roman"/>
          <w:bCs/>
          <w:sz w:val="24"/>
          <w:szCs w:val="24"/>
        </w:rPr>
        <w:t>dell’Agenzia;</w:t>
      </w:r>
    </w:p>
    <w:p w:rsidR="008E1E2A" w:rsidRPr="00E63330" w:rsidRDefault="0096592E" w:rsidP="00942E2C">
      <w:pPr>
        <w:numPr>
          <w:ilvl w:val="1"/>
          <w:numId w:val="49"/>
        </w:numPr>
        <w:autoSpaceDE w:val="0"/>
        <w:autoSpaceDN w:val="0"/>
        <w:adjustRightInd w:val="0"/>
        <w:jc w:val="both"/>
        <w:rPr>
          <w:rFonts w:ascii="Times New Roman" w:hAnsi="Times New Roman"/>
          <w:bCs/>
          <w:sz w:val="24"/>
          <w:szCs w:val="24"/>
        </w:rPr>
      </w:pPr>
      <w:r>
        <w:rPr>
          <w:rFonts w:ascii="Times New Roman" w:hAnsi="Times New Roman"/>
          <w:bCs/>
          <w:sz w:val="24"/>
          <w:szCs w:val="24"/>
        </w:rPr>
        <w:t>il servizio di controllo interno verifica che le procedure adottate dall’organismo pagatore siano adeguate per garantire</w:t>
      </w:r>
      <w:r w:rsidR="009B7CE6">
        <w:rPr>
          <w:rFonts w:ascii="Times New Roman" w:hAnsi="Times New Roman"/>
          <w:bCs/>
          <w:sz w:val="24"/>
          <w:szCs w:val="24"/>
        </w:rPr>
        <w:t xml:space="preserve"> </w:t>
      </w:r>
      <w:r>
        <w:rPr>
          <w:rFonts w:ascii="Times New Roman" w:hAnsi="Times New Roman"/>
          <w:bCs/>
          <w:sz w:val="24"/>
          <w:szCs w:val="24"/>
        </w:rPr>
        <w:t>la conformità con la normativa comunitaria e che la contabilità sia accurata, completa e tempestiva. Le verifiche possono</w:t>
      </w:r>
      <w:r w:rsidR="009B7CE6">
        <w:rPr>
          <w:rFonts w:ascii="Times New Roman" w:hAnsi="Times New Roman"/>
          <w:bCs/>
          <w:sz w:val="24"/>
          <w:szCs w:val="24"/>
        </w:rPr>
        <w:t xml:space="preserve"> </w:t>
      </w:r>
      <w:r>
        <w:rPr>
          <w:rFonts w:ascii="Times New Roman" w:hAnsi="Times New Roman"/>
          <w:bCs/>
          <w:sz w:val="24"/>
          <w:szCs w:val="24"/>
        </w:rPr>
        <w:t>essere limitate a determinate misure o a campioni di operazioni, a condizione che il programma di lavoro garantisca</w:t>
      </w:r>
      <w:r w:rsidR="009B7CE6">
        <w:rPr>
          <w:rFonts w:ascii="Times New Roman" w:hAnsi="Times New Roman"/>
          <w:bCs/>
          <w:sz w:val="24"/>
          <w:szCs w:val="24"/>
        </w:rPr>
        <w:t xml:space="preserve"> </w:t>
      </w:r>
      <w:r>
        <w:rPr>
          <w:rFonts w:ascii="Times New Roman" w:hAnsi="Times New Roman"/>
          <w:bCs/>
          <w:sz w:val="24"/>
          <w:szCs w:val="24"/>
        </w:rPr>
        <w:t>la copertura di tutti i settori importanti, compresi i servizi responsabili dell’autorizzazione per un periodo non</w:t>
      </w:r>
      <w:r w:rsidR="009B7CE6">
        <w:rPr>
          <w:rFonts w:ascii="Times New Roman" w:hAnsi="Times New Roman"/>
          <w:bCs/>
          <w:sz w:val="24"/>
          <w:szCs w:val="24"/>
        </w:rPr>
        <w:t xml:space="preserve"> </w:t>
      </w:r>
      <w:r>
        <w:rPr>
          <w:rFonts w:ascii="Times New Roman" w:hAnsi="Times New Roman"/>
          <w:bCs/>
          <w:sz w:val="24"/>
          <w:szCs w:val="24"/>
        </w:rPr>
        <w:t>superiore a cinque anni;</w:t>
      </w:r>
    </w:p>
    <w:p w:rsidR="008E1E2A" w:rsidRPr="00E63330" w:rsidRDefault="0096592E" w:rsidP="00942E2C">
      <w:pPr>
        <w:numPr>
          <w:ilvl w:val="1"/>
          <w:numId w:val="49"/>
        </w:numPr>
        <w:autoSpaceDE w:val="0"/>
        <w:autoSpaceDN w:val="0"/>
        <w:adjustRightInd w:val="0"/>
        <w:jc w:val="both"/>
        <w:rPr>
          <w:rFonts w:ascii="Times New Roman" w:hAnsi="Times New Roman"/>
          <w:bCs/>
          <w:sz w:val="24"/>
          <w:szCs w:val="24"/>
        </w:rPr>
      </w:pPr>
      <w:r>
        <w:rPr>
          <w:rFonts w:ascii="Times New Roman" w:hAnsi="Times New Roman"/>
          <w:bCs/>
          <w:sz w:val="24"/>
          <w:szCs w:val="24"/>
        </w:rPr>
        <w:t>l’attività del servizio si svolge conformemente a criteri accettati a livello internazionale, va registrata in documenti di</w:t>
      </w:r>
      <w:r w:rsidR="009B7CE6">
        <w:rPr>
          <w:rFonts w:ascii="Times New Roman" w:hAnsi="Times New Roman"/>
          <w:bCs/>
          <w:sz w:val="24"/>
          <w:szCs w:val="24"/>
        </w:rPr>
        <w:t xml:space="preserve"> </w:t>
      </w:r>
      <w:r>
        <w:rPr>
          <w:rFonts w:ascii="Times New Roman" w:hAnsi="Times New Roman"/>
          <w:bCs/>
          <w:sz w:val="24"/>
          <w:szCs w:val="24"/>
        </w:rPr>
        <w:t>lavoro e deve figurare nelle relazioni e nelle raccomandazioni destinate alla direzione dell’organismo pagatore.</w:t>
      </w:r>
    </w:p>
    <w:p w:rsidR="005824D8" w:rsidRPr="00E63330" w:rsidRDefault="005824D8" w:rsidP="00155746">
      <w:pPr>
        <w:autoSpaceDE w:val="0"/>
        <w:autoSpaceDN w:val="0"/>
        <w:adjustRightInd w:val="0"/>
        <w:ind w:left="1440"/>
        <w:jc w:val="both"/>
        <w:rPr>
          <w:rFonts w:ascii="Times New Roman" w:hAnsi="Times New Roman"/>
          <w:bCs/>
          <w:sz w:val="24"/>
          <w:szCs w:val="24"/>
        </w:rPr>
      </w:pPr>
    </w:p>
    <w:p w:rsidR="004134D3" w:rsidRPr="00E63330" w:rsidRDefault="0096592E" w:rsidP="004134D3">
      <w:pPr>
        <w:tabs>
          <w:tab w:val="left" w:pos="709"/>
        </w:tabs>
        <w:autoSpaceDE w:val="0"/>
        <w:autoSpaceDN w:val="0"/>
        <w:adjustRightInd w:val="0"/>
        <w:jc w:val="both"/>
        <w:rPr>
          <w:rFonts w:ascii="Times New Roman" w:hAnsi="Times New Roman"/>
          <w:b/>
          <w:bCs/>
          <w:i/>
          <w:sz w:val="24"/>
          <w:szCs w:val="24"/>
        </w:rPr>
      </w:pPr>
      <w:r>
        <w:rPr>
          <w:rFonts w:ascii="Times New Roman" w:hAnsi="Times New Roman"/>
          <w:b/>
          <w:bCs/>
          <w:i/>
          <w:sz w:val="24"/>
          <w:szCs w:val="24"/>
        </w:rPr>
        <w:t>2.5. Considerazioni in merito ai punti di forza e di debolezza dell’ARCEA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6"/>
        <w:gridCol w:w="4856"/>
      </w:tblGrid>
      <w:tr w:rsidR="00AB467B" w:rsidRPr="00E63330" w:rsidTr="00087B19">
        <w:trPr>
          <w:trHeight w:val="309"/>
        </w:trPr>
        <w:tc>
          <w:tcPr>
            <w:tcW w:w="4856" w:type="dxa"/>
          </w:tcPr>
          <w:p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bookmarkStart w:id="42" w:name="OLE_LINK201"/>
            <w:bookmarkStart w:id="43" w:name="OLE_LINK202"/>
            <w:bookmarkStart w:id="44" w:name="OLE_LINK203"/>
            <w:r>
              <w:rPr>
                <w:rFonts w:ascii="Times New Roman" w:hAnsi="Times New Roman"/>
                <w:b/>
                <w:bCs/>
                <w:sz w:val="20"/>
                <w:szCs w:val="20"/>
                <w:u w:val="single"/>
              </w:rPr>
              <w:t>Punti di Forza</w:t>
            </w:r>
          </w:p>
        </w:tc>
        <w:tc>
          <w:tcPr>
            <w:tcW w:w="4856" w:type="dxa"/>
          </w:tcPr>
          <w:p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r>
              <w:rPr>
                <w:rFonts w:ascii="Times New Roman" w:hAnsi="Times New Roman"/>
                <w:b/>
                <w:bCs/>
                <w:sz w:val="20"/>
                <w:szCs w:val="20"/>
                <w:u w:val="single"/>
              </w:rPr>
              <w:t>Punti di debolezza</w:t>
            </w:r>
          </w:p>
        </w:tc>
      </w:tr>
      <w:tr w:rsidR="008B44BC" w:rsidRPr="00E63330" w:rsidTr="00087B19">
        <w:trPr>
          <w:trHeight w:val="543"/>
        </w:trPr>
        <w:tc>
          <w:tcPr>
            <w:tcW w:w="4856" w:type="dxa"/>
          </w:tcPr>
          <w:p w:rsidR="008B44BC" w:rsidRPr="00E63330" w:rsidRDefault="0096592E" w:rsidP="00530126">
            <w:pPr>
              <w:tabs>
                <w:tab w:val="left" w:pos="709"/>
              </w:tabs>
              <w:autoSpaceDE w:val="0"/>
              <w:autoSpaceDN w:val="0"/>
              <w:adjustRightInd w:val="0"/>
              <w:jc w:val="both"/>
              <w:rPr>
                <w:rFonts w:ascii="Times New Roman" w:hAnsi="Times New Roman"/>
                <w:bCs/>
                <w:sz w:val="20"/>
                <w:szCs w:val="20"/>
              </w:rPr>
            </w:pPr>
            <w:bookmarkStart w:id="45" w:name="_Hlk505034853"/>
            <w:bookmarkStart w:id="46" w:name="_Hlk505034923"/>
            <w:r>
              <w:rPr>
                <w:rFonts w:ascii="Times New Roman" w:hAnsi="Times New Roman"/>
                <w:bCs/>
                <w:sz w:val="20"/>
                <w:szCs w:val="20"/>
              </w:rPr>
              <w:t xml:space="preserve">Forte propensione verso la Sicurezza delle Informazioni, come rilevato dall’Audit della Commissione Europea </w:t>
            </w:r>
            <w:r>
              <w:rPr>
                <w:rFonts w:ascii="Times New Roman" w:hAnsi="Times New Roman"/>
                <w:bCs/>
                <w:sz w:val="20"/>
                <w:szCs w:val="20"/>
              </w:rPr>
              <w:lastRenderedPageBreak/>
              <w:t>condotto nel periodo 22 – 26 Gennaio 2018</w:t>
            </w:r>
          </w:p>
        </w:tc>
        <w:tc>
          <w:tcPr>
            <w:tcW w:w="4856" w:type="dxa"/>
          </w:tcPr>
          <w:p w:rsidR="008B44BC" w:rsidRPr="00E63330" w:rsidRDefault="0096592E" w:rsidP="008B44BC">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lastRenderedPageBreak/>
              <w:t xml:space="preserve">Mancato allineamento tra le competenze provenienti dai Regolamenti Comunitari e dalla normativa </w:t>
            </w:r>
            <w:proofErr w:type="spellStart"/>
            <w:r>
              <w:rPr>
                <w:rFonts w:ascii="Times New Roman" w:hAnsi="Times New Roman"/>
                <w:bCs/>
                <w:sz w:val="20"/>
                <w:szCs w:val="20"/>
              </w:rPr>
              <w:t>regionalee</w:t>
            </w:r>
            <w:proofErr w:type="spellEnd"/>
            <w:r>
              <w:rPr>
                <w:rFonts w:ascii="Times New Roman" w:hAnsi="Times New Roman"/>
                <w:bCs/>
                <w:sz w:val="20"/>
                <w:szCs w:val="20"/>
              </w:rPr>
              <w:t xml:space="preserve"> la </w:t>
            </w:r>
            <w:r>
              <w:rPr>
                <w:rFonts w:ascii="Times New Roman" w:hAnsi="Times New Roman"/>
                <w:bCs/>
                <w:sz w:val="20"/>
                <w:szCs w:val="20"/>
              </w:rPr>
              <w:lastRenderedPageBreak/>
              <w:t xml:space="preserve">dotazione in termini di risorse umane e finanziarie dell'Agenzia. </w:t>
            </w:r>
          </w:p>
        </w:tc>
      </w:tr>
      <w:tr w:rsidR="008B44BC" w:rsidRPr="00E63330" w:rsidTr="00087B19">
        <w:trPr>
          <w:trHeight w:val="543"/>
        </w:trPr>
        <w:tc>
          <w:tcPr>
            <w:tcW w:w="4856" w:type="dxa"/>
          </w:tcPr>
          <w:p w:rsidR="008B44BC" w:rsidRPr="00E63330" w:rsidRDefault="0096592E" w:rsidP="009E3787">
            <w:pPr>
              <w:tabs>
                <w:tab w:val="left" w:pos="709"/>
              </w:tabs>
              <w:autoSpaceDE w:val="0"/>
              <w:autoSpaceDN w:val="0"/>
              <w:adjustRightInd w:val="0"/>
              <w:jc w:val="both"/>
              <w:rPr>
                <w:rFonts w:ascii="Times New Roman" w:hAnsi="Times New Roman"/>
                <w:bCs/>
                <w:sz w:val="20"/>
                <w:szCs w:val="20"/>
              </w:rPr>
            </w:pPr>
            <w:bookmarkStart w:id="47" w:name="_Hlk505034887"/>
            <w:bookmarkEnd w:id="45"/>
            <w:r>
              <w:rPr>
                <w:rFonts w:ascii="Times New Roman" w:hAnsi="Times New Roman"/>
                <w:bCs/>
                <w:sz w:val="20"/>
                <w:szCs w:val="20"/>
              </w:rPr>
              <w:lastRenderedPageBreak/>
              <w:t>Alta specializzazione in materia di controlli in agricoltura, confermata dalla decisione della Giunta regionale di affidare, a partire dal 2016, all'ARCEA nuove competenze in materia di assegnazione del carburante agricolo a regime fiscale agevolato.</w:t>
            </w:r>
          </w:p>
        </w:tc>
        <w:tc>
          <w:tcPr>
            <w:tcW w:w="4856" w:type="dxa"/>
          </w:tcPr>
          <w:p w:rsidR="008B44BC"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Indeterminatezza monetaria e temporale delle risorse trasferite dalla Regione all’ARCEA e conseguente impossibilità di pianificazione ex ante delle attività</w:t>
            </w:r>
          </w:p>
        </w:tc>
      </w:tr>
      <w:bookmarkEnd w:id="47"/>
      <w:tr w:rsidR="00B474EA" w:rsidRPr="00E63330" w:rsidTr="00087B19">
        <w:trPr>
          <w:trHeight w:val="543"/>
        </w:trPr>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Riconoscimento da parte del </w:t>
            </w:r>
            <w:r w:rsidR="0074533F">
              <w:rPr>
                <w:rFonts w:ascii="Times New Roman" w:hAnsi="Times New Roman"/>
                <w:bCs/>
                <w:sz w:val="20"/>
                <w:szCs w:val="20"/>
              </w:rPr>
              <w:t>MIPAAFT</w:t>
            </w:r>
            <w:r>
              <w:rPr>
                <w:rFonts w:ascii="Times New Roman" w:hAnsi="Times New Roman"/>
                <w:bCs/>
                <w:sz w:val="20"/>
                <w:szCs w:val="20"/>
              </w:rPr>
              <w:t xml:space="preserve"> e della Commissione Europea ed applicazione di procedure tipiche e codificate che consentono l’erogazione dei fondi in agricoltura in tempi certi</w:t>
            </w:r>
          </w:p>
        </w:tc>
        <w:tc>
          <w:tcPr>
            <w:tcW w:w="4856" w:type="dxa"/>
          </w:tcPr>
          <w:p w:rsidR="00B474EA" w:rsidRPr="00E63330" w:rsidRDefault="0096592E" w:rsidP="00B474EA">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ad attuare talune politiche organizzative (ad esempio in merito al controllo degli accessi ed alla ricezione del pubblico presso i propri uffici) per via dell’utilizzo di strutture regionali</w:t>
            </w:r>
          </w:p>
        </w:tc>
      </w:tr>
      <w:tr w:rsidR="00B474EA" w:rsidRPr="00E63330" w:rsidTr="00087B19">
        <w:trPr>
          <w:trHeight w:val="228"/>
        </w:trPr>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Struttura Organizzativa flessibile e personale adeguatamente formato</w:t>
            </w:r>
          </w:p>
        </w:tc>
        <w:tc>
          <w:tcPr>
            <w:tcW w:w="4856" w:type="dxa"/>
          </w:tcPr>
          <w:p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programmare investimenti nel breve-medio periodo in formazione, attività di controllo e acquisto di beni strumentali a causa della presenza di vincoli finanziari che impongono drastiche riduzioni lineari di spesa</w:t>
            </w:r>
          </w:p>
        </w:tc>
      </w:tr>
      <w:tr w:rsidR="00B474EA" w:rsidRPr="00E63330" w:rsidTr="00087B19">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Sistema Informativo dedicato ed altamente performante</w:t>
            </w:r>
          </w:p>
        </w:tc>
        <w:tc>
          <w:tcPr>
            <w:tcW w:w="4856" w:type="dxa"/>
          </w:tcPr>
          <w:p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sia al funzionamento che all’attività di Organismo Pagatore dell’Agenzia</w:t>
            </w:r>
          </w:p>
        </w:tc>
      </w:tr>
      <w:tr w:rsidR="00B474EA" w:rsidRPr="00E63330" w:rsidTr="00087B19">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Elevato grado di sicurezza nella gestione dei flussi informativi</w:t>
            </w:r>
          </w:p>
        </w:tc>
        <w:tc>
          <w:tcPr>
            <w:tcW w:w="4856" w:type="dxa"/>
          </w:tcPr>
          <w:p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a causa di carenza di personale</w:t>
            </w:r>
          </w:p>
        </w:tc>
      </w:tr>
      <w:tr w:rsidR="00B474EA" w:rsidRPr="00E63330" w:rsidTr="00087B19">
        <w:trPr>
          <w:trHeight w:val="96"/>
        </w:trPr>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interno all’ARCEA fortemente orientato alla prevenzione ed alla gestione del rischio</w:t>
            </w:r>
          </w:p>
        </w:tc>
        <w:tc>
          <w:tcPr>
            <w:tcW w:w="4856" w:type="dxa"/>
          </w:tcPr>
          <w:p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Struttura organizzativa incompleta nei termini approvati dalla Giunta Regionale e richiesti dal </w:t>
            </w:r>
            <w:r w:rsidR="0074533F">
              <w:rPr>
                <w:rFonts w:ascii="Times New Roman" w:hAnsi="Times New Roman"/>
                <w:bCs/>
                <w:sz w:val="20"/>
                <w:szCs w:val="20"/>
              </w:rPr>
              <w:t>MIPAAFT</w:t>
            </w:r>
            <w:r>
              <w:rPr>
                <w:rFonts w:ascii="Times New Roman" w:hAnsi="Times New Roman"/>
                <w:bCs/>
                <w:sz w:val="20"/>
                <w:szCs w:val="20"/>
              </w:rPr>
              <w:t xml:space="preserve"> e dalla Commissione Europea, a causa della sussistenza di vincoli finanziari e normativi in materia di reclutamento del personale</w:t>
            </w:r>
          </w:p>
        </w:tc>
      </w:tr>
      <w:bookmarkEnd w:id="46"/>
      <w:tr w:rsidR="00B474EA" w:rsidRPr="00E63330" w:rsidTr="00087B19">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sugli enti delegati e sui beneficiari dell’ARCEA finalizzata alla prevenzione ed alla repressione di comportamenti illeciti</w:t>
            </w:r>
          </w:p>
        </w:tc>
        <w:tc>
          <w:tcPr>
            <w:tcW w:w="4856" w:type="dxa"/>
          </w:tcPr>
          <w:p w:rsidR="00B474EA" w:rsidRPr="003C3367" w:rsidRDefault="00B474EA" w:rsidP="008C6E12">
            <w:pPr>
              <w:tabs>
                <w:tab w:val="left" w:pos="709"/>
              </w:tabs>
              <w:autoSpaceDE w:val="0"/>
              <w:autoSpaceDN w:val="0"/>
              <w:adjustRightInd w:val="0"/>
              <w:jc w:val="both"/>
              <w:outlineLvl w:val="2"/>
              <w:rPr>
                <w:rFonts w:ascii="Times New Roman" w:hAnsi="Times New Roman"/>
                <w:bCs/>
                <w:sz w:val="20"/>
                <w:szCs w:val="20"/>
              </w:rPr>
            </w:pPr>
          </w:p>
        </w:tc>
      </w:tr>
      <w:tr w:rsidR="00B474EA" w:rsidRPr="00E63330" w:rsidTr="00087B19">
        <w:tc>
          <w:tcPr>
            <w:tcW w:w="4856" w:type="dxa"/>
          </w:tcPr>
          <w:p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Radicamento sul territorio e punto di riferimento per i beneficiari e per le altre istituzioni che a vario titolo operano nel settore dell’attuazione della PAC nella Regione Calabria</w:t>
            </w:r>
          </w:p>
        </w:tc>
        <w:tc>
          <w:tcPr>
            <w:tcW w:w="4856" w:type="dxa"/>
          </w:tcPr>
          <w:p w:rsidR="00B474EA" w:rsidRPr="003C3367" w:rsidRDefault="00B474EA" w:rsidP="00530126">
            <w:pPr>
              <w:tabs>
                <w:tab w:val="left" w:pos="709"/>
              </w:tabs>
              <w:autoSpaceDE w:val="0"/>
              <w:autoSpaceDN w:val="0"/>
              <w:adjustRightInd w:val="0"/>
              <w:jc w:val="both"/>
              <w:outlineLvl w:val="2"/>
              <w:rPr>
                <w:rFonts w:ascii="Times New Roman" w:hAnsi="Times New Roman"/>
                <w:bCs/>
                <w:sz w:val="20"/>
                <w:szCs w:val="20"/>
              </w:rPr>
            </w:pPr>
          </w:p>
        </w:tc>
      </w:tr>
      <w:bookmarkEnd w:id="42"/>
      <w:bookmarkEnd w:id="43"/>
      <w:bookmarkEnd w:id="44"/>
    </w:tbl>
    <w:p w:rsidR="00AB467B" w:rsidRPr="00E63330" w:rsidRDefault="00AB467B" w:rsidP="004134D3">
      <w:pPr>
        <w:tabs>
          <w:tab w:val="left" w:pos="709"/>
        </w:tabs>
        <w:autoSpaceDE w:val="0"/>
        <w:autoSpaceDN w:val="0"/>
        <w:adjustRightInd w:val="0"/>
        <w:jc w:val="both"/>
        <w:rPr>
          <w:rFonts w:ascii="Times New Roman" w:hAnsi="Times New Roman"/>
          <w:bCs/>
          <w:sz w:val="10"/>
          <w:szCs w:val="24"/>
        </w:rPr>
      </w:pPr>
    </w:p>
    <w:p w:rsidR="00C25405"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L’ARCEA, alla stregua degli obblighi previsti dalla normativa comunitaria sopra evidenziata, costituisce un’organizzazione peculiare, con caratteristiche strutturali e procedurali non comparabili con altre realtà amministrative regionali.</w:t>
      </w:r>
    </w:p>
    <w:p w:rsidR="00D3515D"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Tali caratteristiche richiedono all’Organismo Pagatore il mantenimento di elevati standard qualitativi nell’erogazione dei servizi a favore della collettività, da cui non può in alcun modo derogare, pena la revisione ovvero la revoca del riconoscimento.</w:t>
      </w:r>
    </w:p>
    <w:p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Si conferma il superamento della problematica attinente i vincoli propri delle norme nazionali e regionali in materia di contenimento della spesa pubblica che, fino all’entrata in vigore della Legge Regionale n, 20 del 2014, modificativa della L.R. n. 24/2002,disponevano continue riduzioni lineari a numerosi voci di spesa essenziali per la corretta operatività dell’ARCEA prescindendo da una valutazione selettiva delle attività svolte dai vari Enti pubblici.</w:t>
      </w:r>
    </w:p>
    <w:p w:rsidR="000617E1"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 nuova impostazione legislativa, consente all’Agenzia di poter allocare le risorse di cui dispone secondo le effettive esigenze organizzative da soddisfare, in funzione degli obiettivi da conseguire concretamente in virtù del ruolo di Organismo Pagatore e dell’assolvimento di alcuni adempimenti discendenti dalla normativa nazionale e comunitaria di settore.</w:t>
      </w:r>
    </w:p>
    <w:p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Tra gli obblighi prescritti all’ARCEA si rileva ad esempio, con riguardo alla dotazione organica del personale come l’Organismo di Certificazione dei conti ed il </w:t>
      </w:r>
      <w:r w:rsidR="0074533F">
        <w:rPr>
          <w:rFonts w:ascii="Times New Roman" w:hAnsi="Times New Roman"/>
          <w:bCs/>
          <w:sz w:val="24"/>
          <w:szCs w:val="24"/>
        </w:rPr>
        <w:t>MIPAAFT</w:t>
      </w:r>
      <w:r>
        <w:rPr>
          <w:rFonts w:ascii="Times New Roman" w:hAnsi="Times New Roman"/>
          <w:bCs/>
          <w:sz w:val="24"/>
          <w:szCs w:val="24"/>
        </w:rPr>
        <w:t xml:space="preserve"> (nelle ultime visite ispettivedel2015 e 2017) abbiano sottoposto ad attenzione la consistenza numerica delle unità presenti in servizio, richiamando peraltro quanto già osservato dai servizi della Commissione Europea nel dicembre del 2010.</w:t>
      </w:r>
    </w:p>
    <w:p w:rsidR="00D3515D"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Ed invero, è richiesto all’Organismo Pagatore di procedere al completamento della dotazione organica formalmente approvata, da ultimo, dalla Giunta regionale con D.G.R. n. 531 del 7 agosto 2009, in numero di 57 unità lavorative in possesso di vari profili professionali.</w:t>
      </w:r>
    </w:p>
    <w:p w:rsidR="00C136DA"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rsidR="0086672C" w:rsidRPr="00E63330" w:rsidRDefault="0086672C" w:rsidP="0086672C">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A tale proposito, è necessario rilevare che il contributo annuale per il funzionamento a carico del bilancio regionale, come più volte evidenziato dai vertici dell’ARCEA e confermato anche dal competente Dipartimento regionale, non consente non solo una pianificazione strategica ultra annuale (e comunque nel medio periodo), ma addirittura rende assai problematica la gestione ordinaria delle attività e delle risorse.</w:t>
      </w:r>
    </w:p>
    <w:p w:rsidR="00C972FA" w:rsidRPr="0086672C" w:rsidRDefault="0086672C" w:rsidP="004134D3">
      <w:p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Cs/>
          <w:sz w:val="24"/>
          <w:szCs w:val="24"/>
        </w:rPr>
        <w:t xml:space="preserve">In particolare, nell’attuale situazione, risulta difficile per l’Agenzia </w:t>
      </w:r>
      <w:r w:rsidR="0077354F" w:rsidRPr="0086672C">
        <w:rPr>
          <w:rFonts w:ascii="Times New Roman" w:hAnsi="Times New Roman"/>
          <w:bCs/>
          <w:sz w:val="24"/>
          <w:szCs w:val="24"/>
        </w:rPr>
        <w:t xml:space="preserve">procedere con </w:t>
      </w:r>
      <w:r w:rsidR="0096592E" w:rsidRPr="0086672C">
        <w:rPr>
          <w:rFonts w:ascii="Times New Roman" w:hAnsi="Times New Roman"/>
          <w:bCs/>
          <w:sz w:val="24"/>
          <w:szCs w:val="24"/>
        </w:rPr>
        <w:t>l’indispensabile incremento di unità lavorative con conseguenze, già nel breve periodo, potenzialmente pregiudizievoli.</w:t>
      </w:r>
    </w:p>
    <w:p w:rsidR="00C136DA" w:rsidRPr="0086672C" w:rsidRDefault="0096592E" w:rsidP="004134D3">
      <w:p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Cs/>
          <w:sz w:val="24"/>
          <w:szCs w:val="24"/>
        </w:rPr>
        <w:t>Permangono, inoltre , ulteriori elementi di dissonanza fra i vincoli legislativi sopra evidenziali ed i requisiti per il mantenimento del riconoscimento quale O.P. sono:</w:t>
      </w:r>
    </w:p>
    <w:p w:rsid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La formazione del personale</w:t>
      </w:r>
      <w:r w:rsidRPr="0086672C">
        <w:rPr>
          <w:rFonts w:ascii="Times New Roman" w:hAnsi="Times New Roman"/>
          <w:bCs/>
          <w:sz w:val="24"/>
          <w:szCs w:val="24"/>
        </w:rPr>
        <w:t xml:space="preserve">: I servizi della Commissione Europea indicano, quale parametro di riferimento per garantire il necessario aggiornamento delle competenze professionali del personale, la previsione di uno stanziamento in bilancio pari al 5% del contributo di funzionamento. </w:t>
      </w:r>
    </w:p>
    <w:p w:rsidR="00DF3D80" w:rsidRP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Lo svolgimento di missioni istituzionali e di trasferte per controlli di secondo livello ed Audit</w:t>
      </w:r>
      <w:r w:rsidRPr="0086672C">
        <w:rPr>
          <w:rFonts w:ascii="Times New Roman" w:hAnsi="Times New Roman"/>
          <w:bCs/>
          <w:sz w:val="24"/>
          <w:szCs w:val="24"/>
        </w:rPr>
        <w:t xml:space="preserve">: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w:t>
      </w:r>
      <w:r w:rsidRPr="0086672C">
        <w:rPr>
          <w:rFonts w:ascii="Times New Roman" w:hAnsi="Times New Roman"/>
          <w:bCs/>
          <w:sz w:val="24"/>
          <w:szCs w:val="24"/>
        </w:rPr>
        <w:lastRenderedPageBreak/>
        <w:t>controlli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rsidR="00BE3B4D" w:rsidRPr="00E63330" w:rsidRDefault="0096592E" w:rsidP="002F58B2">
      <w:pPr>
        <w:pStyle w:val="Titolo1"/>
      </w:pPr>
      <w:bookmarkStart w:id="48" w:name="_Toc1046946"/>
      <w:r w:rsidRPr="003C3367">
        <w:t>Dove siamo</w:t>
      </w:r>
      <w:bookmarkEnd w:id="48"/>
    </w:p>
    <w:p w:rsidR="00470C61" w:rsidRPr="00E63330" w:rsidRDefault="0096592E" w:rsidP="00635941">
      <w:pPr>
        <w:autoSpaceDE w:val="0"/>
        <w:autoSpaceDN w:val="0"/>
        <w:adjustRightInd w:val="0"/>
        <w:spacing w:after="120" w:line="240" w:lineRule="auto"/>
        <w:rPr>
          <w:rFonts w:ascii="Times New Roman" w:hAnsi="Times New Roman"/>
          <w:bCs/>
          <w:sz w:val="24"/>
          <w:szCs w:val="24"/>
        </w:rPr>
      </w:pPr>
      <w:r>
        <w:rPr>
          <w:rFonts w:ascii="Times New Roman" w:hAnsi="Times New Roman"/>
          <w:bCs/>
          <w:sz w:val="24"/>
          <w:szCs w:val="24"/>
        </w:rPr>
        <w:t xml:space="preserve">L’ARCEA ha sede a Catanzaro, in Località Germaneto, presso la "Cittadella Regionale". </w:t>
      </w:r>
    </w:p>
    <w:p w:rsidR="00470C61" w:rsidRPr="00E63330" w:rsidRDefault="0096592E" w:rsidP="00635941">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In ottemperanza alle prescrizioni fornite dalla Commissione Europea, l’Agenzia ha predisposto un sito di “Disaster Recovery”, ubicat</w:t>
      </w:r>
      <w:r w:rsidR="00AE576E">
        <w:rPr>
          <w:rFonts w:ascii="Times New Roman" w:hAnsi="Times New Roman"/>
          <w:bCs/>
          <w:sz w:val="24"/>
          <w:szCs w:val="24"/>
        </w:rPr>
        <w:t>o</w:t>
      </w:r>
      <w:r>
        <w:rPr>
          <w:rFonts w:ascii="Times New Roman" w:hAnsi="Times New Roman"/>
          <w:bCs/>
          <w:sz w:val="24"/>
          <w:szCs w:val="24"/>
        </w:rPr>
        <w:t xml:space="preserve"> presso la sede </w:t>
      </w:r>
      <w:r w:rsidR="00AE576E">
        <w:rPr>
          <w:rFonts w:ascii="Times New Roman" w:hAnsi="Times New Roman"/>
          <w:bCs/>
          <w:sz w:val="24"/>
          <w:szCs w:val="24"/>
        </w:rPr>
        <w:t>dell’ARCEA</w:t>
      </w:r>
      <w:r>
        <w:rPr>
          <w:rFonts w:ascii="Times New Roman" w:hAnsi="Times New Roman"/>
          <w:bCs/>
          <w:sz w:val="24"/>
          <w:szCs w:val="24"/>
        </w:rPr>
        <w:t xml:space="preserve"> Territoriale Nord della Regione Calabria di Cosenza, che consent</w:t>
      </w:r>
      <w:r w:rsidR="00AE576E">
        <w:rPr>
          <w:rFonts w:ascii="Times New Roman" w:hAnsi="Times New Roman"/>
          <w:bCs/>
          <w:sz w:val="24"/>
          <w:szCs w:val="24"/>
        </w:rPr>
        <w:t>e</w:t>
      </w:r>
      <w:r>
        <w:rPr>
          <w:rFonts w:ascii="Times New Roman" w:hAnsi="Times New Roman"/>
          <w:bCs/>
          <w:sz w:val="24"/>
          <w:szCs w:val="24"/>
        </w:rPr>
        <w:t xml:space="preserve">, in caso di “incidente” di grave portata, </w:t>
      </w:r>
      <w:r w:rsidR="00AE576E">
        <w:rPr>
          <w:rFonts w:ascii="Times New Roman" w:hAnsi="Times New Roman"/>
          <w:bCs/>
          <w:sz w:val="24"/>
          <w:szCs w:val="24"/>
        </w:rPr>
        <w:t xml:space="preserve">di garantire </w:t>
      </w:r>
      <w:r>
        <w:rPr>
          <w:rFonts w:ascii="Times New Roman" w:hAnsi="Times New Roman"/>
          <w:bCs/>
          <w:sz w:val="24"/>
          <w:szCs w:val="24"/>
        </w:rPr>
        <w:t xml:space="preserve">la continuità delle attività lavorative essenziali, </w:t>
      </w:r>
      <w:r w:rsidR="00AE576E">
        <w:rPr>
          <w:rFonts w:ascii="Times New Roman" w:hAnsi="Times New Roman"/>
          <w:bCs/>
          <w:sz w:val="24"/>
          <w:szCs w:val="24"/>
        </w:rPr>
        <w:t xml:space="preserve">e, in condizioni di normalità, </w:t>
      </w:r>
      <w:r>
        <w:rPr>
          <w:rFonts w:ascii="Times New Roman" w:hAnsi="Times New Roman"/>
          <w:bCs/>
          <w:sz w:val="24"/>
          <w:szCs w:val="24"/>
        </w:rPr>
        <w:t>a bilanciare il carico computazionale tra le due “sale CED” (Catanzaro e Cosenza), decongestionando anche durante i picchi lavorativi la sede principale.</w:t>
      </w:r>
    </w:p>
    <w:p w:rsidR="00470C61" w:rsidRPr="003C3367" w:rsidRDefault="00470C61" w:rsidP="00470C61">
      <w:pPr>
        <w:autoSpaceDE w:val="0"/>
        <w:autoSpaceDN w:val="0"/>
        <w:adjustRightInd w:val="0"/>
        <w:spacing w:line="360" w:lineRule="auto"/>
        <w:jc w:val="both"/>
        <w:rPr>
          <w:rFonts w:ascii="Times New Roman" w:hAnsi="Times New Roman"/>
          <w:kern w:val="28"/>
          <w:sz w:val="2"/>
        </w:rPr>
      </w:pPr>
    </w:p>
    <w:p w:rsidR="00335442" w:rsidRPr="00E63330" w:rsidRDefault="00335442" w:rsidP="00EF3951">
      <w:pPr>
        <w:autoSpaceDE w:val="0"/>
        <w:autoSpaceDN w:val="0"/>
        <w:adjustRightInd w:val="0"/>
        <w:jc w:val="center"/>
        <w:rPr>
          <w:rFonts w:ascii="Times New Roman" w:hAnsi="Times New Roman"/>
          <w:bCs/>
          <w:sz w:val="4"/>
          <w:szCs w:val="24"/>
        </w:rPr>
      </w:pPr>
    </w:p>
    <w:p w:rsidR="00D678FF" w:rsidRPr="00E63330" w:rsidRDefault="0096592E" w:rsidP="002F58B2">
      <w:pPr>
        <w:pStyle w:val="Titolo1"/>
      </w:pPr>
      <w:bookmarkStart w:id="49" w:name="_Toc1046947"/>
      <w:r w:rsidRPr="003C3367">
        <w:t>L’ARCEA in cifre (al 31 dicembre 2018):</w:t>
      </w:r>
      <w:bookmarkEnd w:id="49"/>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6"/>
        <w:gridCol w:w="4302"/>
      </w:tblGrid>
      <w:tr w:rsidR="006835EC" w:rsidRPr="00E63330" w:rsidTr="00682DF7">
        <w:trPr>
          <w:trHeight w:val="363"/>
        </w:trPr>
        <w:tc>
          <w:tcPr>
            <w:tcW w:w="5586" w:type="dxa"/>
          </w:tcPr>
          <w:p w:rsidR="006835EC" w:rsidRPr="00E63330" w:rsidRDefault="0096592E" w:rsidP="00EF3951">
            <w:pPr>
              <w:tabs>
                <w:tab w:val="left" w:pos="426"/>
              </w:tabs>
              <w:autoSpaceDE w:val="0"/>
              <w:autoSpaceDN w:val="0"/>
              <w:adjustRightInd w:val="0"/>
              <w:jc w:val="both"/>
              <w:rPr>
                <w:rFonts w:ascii="Times New Roman" w:hAnsi="Times New Roman"/>
                <w:bCs/>
              </w:rPr>
            </w:pPr>
            <w:bookmarkStart w:id="50" w:name="OLE_LINK204"/>
            <w:bookmarkStart w:id="51" w:name="OLE_LINK205"/>
            <w:bookmarkStart w:id="52" w:name="OLE_LINK206"/>
            <w:bookmarkStart w:id="53" w:name="OLE_LINK207"/>
            <w:r w:rsidRPr="003C3367">
              <w:rPr>
                <w:rFonts w:ascii="Times New Roman" w:hAnsi="Times New Roman"/>
                <w:bCs/>
              </w:rPr>
              <w:t>Dirigenti e dipendenti in servizio*</w:t>
            </w:r>
          </w:p>
        </w:tc>
        <w:tc>
          <w:tcPr>
            <w:tcW w:w="4302" w:type="dxa"/>
          </w:tcPr>
          <w:p w:rsidR="006835EC" w:rsidRPr="00E63330" w:rsidRDefault="0096592E" w:rsidP="009E3787">
            <w:pPr>
              <w:tabs>
                <w:tab w:val="left" w:pos="426"/>
              </w:tabs>
              <w:autoSpaceDE w:val="0"/>
              <w:autoSpaceDN w:val="0"/>
              <w:adjustRightInd w:val="0"/>
              <w:jc w:val="both"/>
              <w:rPr>
                <w:rFonts w:ascii="Times New Roman" w:hAnsi="Times New Roman"/>
                <w:bCs/>
              </w:rPr>
            </w:pPr>
            <w:r w:rsidRPr="003C3367">
              <w:rPr>
                <w:rFonts w:ascii="Times New Roman" w:hAnsi="Times New Roman"/>
                <w:bCs/>
              </w:rPr>
              <w:t>49</w:t>
            </w:r>
          </w:p>
        </w:tc>
      </w:tr>
      <w:tr w:rsidR="006835EC" w:rsidRPr="00E63330" w:rsidTr="00682DF7">
        <w:tc>
          <w:tcPr>
            <w:tcW w:w="5586" w:type="dxa"/>
          </w:tcPr>
          <w:p w:rsidR="006835EC" w:rsidRPr="00E63330" w:rsidRDefault="0096592E" w:rsidP="00F73224">
            <w:pPr>
              <w:tabs>
                <w:tab w:val="left" w:pos="426"/>
              </w:tabs>
              <w:autoSpaceDE w:val="0"/>
              <w:autoSpaceDN w:val="0"/>
              <w:adjustRightInd w:val="0"/>
              <w:jc w:val="both"/>
              <w:rPr>
                <w:rFonts w:ascii="Times New Roman" w:hAnsi="Times New Roman"/>
                <w:bCs/>
              </w:rPr>
            </w:pPr>
            <w:bookmarkStart w:id="54" w:name="_Hlk505034776"/>
            <w:r w:rsidRPr="003C3367">
              <w:rPr>
                <w:rFonts w:ascii="Times New Roman" w:hAnsi="Times New Roman"/>
                <w:bCs/>
              </w:rPr>
              <w:t>Fascicoli Aziendali movimentati (a sistema)**</w:t>
            </w:r>
          </w:p>
        </w:tc>
        <w:tc>
          <w:tcPr>
            <w:tcW w:w="4302" w:type="dxa"/>
          </w:tcPr>
          <w:p w:rsidR="006835EC" w:rsidRPr="003C3367" w:rsidRDefault="0096592E" w:rsidP="0022208B">
            <w:pPr>
              <w:tabs>
                <w:tab w:val="left" w:pos="426"/>
              </w:tabs>
              <w:autoSpaceDE w:val="0"/>
              <w:autoSpaceDN w:val="0"/>
              <w:adjustRightInd w:val="0"/>
              <w:jc w:val="both"/>
              <w:rPr>
                <w:rFonts w:ascii="Times New Roman" w:hAnsi="Times New Roman"/>
                <w:bCs/>
                <w:sz w:val="20"/>
                <w:szCs w:val="20"/>
              </w:rPr>
            </w:pPr>
            <w:r w:rsidRPr="003C3367">
              <w:rPr>
                <w:rFonts w:ascii="Times New Roman" w:hAnsi="Times New Roman"/>
                <w:bCs/>
                <w:sz w:val="20"/>
                <w:szCs w:val="20"/>
              </w:rPr>
              <w:t>80.823</w:t>
            </w:r>
          </w:p>
        </w:tc>
      </w:tr>
      <w:tr w:rsidR="00682DF7" w:rsidRPr="00E63330" w:rsidTr="00682DF7">
        <w:tc>
          <w:tcPr>
            <w:tcW w:w="5586" w:type="dxa"/>
          </w:tcPr>
          <w:p w:rsidR="00682DF7" w:rsidRPr="00E63330" w:rsidRDefault="0096592E" w:rsidP="00F7128E">
            <w:pPr>
              <w:tabs>
                <w:tab w:val="left" w:pos="426"/>
              </w:tabs>
              <w:autoSpaceDE w:val="0"/>
              <w:autoSpaceDN w:val="0"/>
              <w:adjustRightInd w:val="0"/>
              <w:jc w:val="both"/>
              <w:rPr>
                <w:rFonts w:ascii="Times New Roman" w:hAnsi="Times New Roman"/>
                <w:bCs/>
              </w:rPr>
            </w:pPr>
            <w:r w:rsidRPr="003C3367">
              <w:rPr>
                <w:rFonts w:ascii="Times New Roman" w:hAnsi="Times New Roman"/>
                <w:bCs/>
              </w:rPr>
              <w:t>Erogazioni Fondo FEAGA Campagna 201</w:t>
            </w:r>
            <w:r w:rsidR="00F7128E">
              <w:rPr>
                <w:rFonts w:ascii="Times New Roman" w:hAnsi="Times New Roman"/>
                <w:bCs/>
              </w:rPr>
              <w:t>7</w:t>
            </w:r>
            <w:r w:rsidRPr="003C3367">
              <w:rPr>
                <w:rFonts w:ascii="Times New Roman" w:hAnsi="Times New Roman"/>
                <w:bCs/>
              </w:rPr>
              <w:t xml:space="preserve"> (16 ottobre 201</w:t>
            </w:r>
            <w:r w:rsidR="00A52606">
              <w:rPr>
                <w:rFonts w:ascii="Times New Roman" w:hAnsi="Times New Roman"/>
                <w:bCs/>
              </w:rPr>
              <w:t>7</w:t>
            </w:r>
            <w:r w:rsidRPr="003C3367">
              <w:rPr>
                <w:rFonts w:ascii="Times New Roman" w:hAnsi="Times New Roman"/>
                <w:bCs/>
              </w:rPr>
              <w:t>/30 giugno 201</w:t>
            </w:r>
            <w:r w:rsidR="00A52606">
              <w:rPr>
                <w:rFonts w:ascii="Times New Roman" w:hAnsi="Times New Roman"/>
                <w:bCs/>
              </w:rPr>
              <w:t>8</w:t>
            </w:r>
            <w:r w:rsidRPr="003C3367">
              <w:rPr>
                <w:rFonts w:ascii="Times New Roman" w:hAnsi="Times New Roman"/>
                <w:bCs/>
              </w:rPr>
              <w:t>)</w:t>
            </w:r>
          </w:p>
        </w:tc>
        <w:tc>
          <w:tcPr>
            <w:tcW w:w="4302" w:type="dxa"/>
          </w:tcPr>
          <w:p w:rsidR="00682DF7" w:rsidRPr="003C3367" w:rsidRDefault="0096592E" w:rsidP="004C62B6">
            <w:pPr>
              <w:jc w:val="both"/>
              <w:rPr>
                <w:rFonts w:ascii="Times New Roman" w:hAnsi="Times New Roman"/>
                <w:bCs/>
                <w:sz w:val="20"/>
                <w:szCs w:val="20"/>
              </w:rPr>
            </w:pPr>
            <w:r w:rsidRPr="003C3367">
              <w:rPr>
                <w:rFonts w:ascii="Times New Roman" w:hAnsi="Times New Roman"/>
                <w:bCs/>
                <w:sz w:val="20"/>
                <w:szCs w:val="20"/>
              </w:rPr>
              <w:t>€ 254.475.150,14</w:t>
            </w:r>
          </w:p>
        </w:tc>
      </w:tr>
      <w:tr w:rsidR="00682DF7" w:rsidRPr="00E63330" w:rsidTr="00682DF7">
        <w:tc>
          <w:tcPr>
            <w:tcW w:w="5586" w:type="dxa"/>
          </w:tcPr>
          <w:p w:rsidR="00682DF7" w:rsidRPr="00E63330" w:rsidRDefault="0096592E" w:rsidP="00A52606">
            <w:pPr>
              <w:tabs>
                <w:tab w:val="left" w:pos="426"/>
              </w:tabs>
              <w:autoSpaceDE w:val="0"/>
              <w:autoSpaceDN w:val="0"/>
              <w:adjustRightInd w:val="0"/>
              <w:jc w:val="both"/>
              <w:rPr>
                <w:rFonts w:ascii="Times New Roman" w:hAnsi="Times New Roman"/>
                <w:bCs/>
              </w:rPr>
            </w:pPr>
            <w:r w:rsidRPr="003C3367">
              <w:rPr>
                <w:rFonts w:ascii="Times New Roman" w:hAnsi="Times New Roman"/>
                <w:bCs/>
              </w:rPr>
              <w:t>Erogazioni Fondo FEASR (1 gennaio/31 dicembre 201</w:t>
            </w:r>
            <w:r w:rsidR="00A52606">
              <w:rPr>
                <w:rFonts w:ascii="Times New Roman" w:hAnsi="Times New Roman"/>
                <w:bCs/>
              </w:rPr>
              <w:t>8</w:t>
            </w:r>
            <w:r w:rsidRPr="003C3367">
              <w:rPr>
                <w:rFonts w:ascii="Times New Roman" w:hAnsi="Times New Roman"/>
                <w:bCs/>
              </w:rPr>
              <w:t>)</w:t>
            </w:r>
          </w:p>
        </w:tc>
        <w:tc>
          <w:tcPr>
            <w:tcW w:w="4302" w:type="dxa"/>
          </w:tcPr>
          <w:p w:rsidR="00682DF7" w:rsidRPr="003C3367" w:rsidRDefault="0096592E" w:rsidP="000E5AEF">
            <w:pPr>
              <w:tabs>
                <w:tab w:val="left" w:pos="426"/>
              </w:tabs>
              <w:autoSpaceDE w:val="0"/>
              <w:autoSpaceDN w:val="0"/>
              <w:adjustRightInd w:val="0"/>
              <w:jc w:val="both"/>
              <w:rPr>
                <w:rFonts w:ascii="Times New Roman" w:hAnsi="Times New Roman"/>
                <w:b/>
                <w:bCs/>
                <w:i/>
                <w:sz w:val="20"/>
                <w:szCs w:val="20"/>
                <w:u w:val="single"/>
              </w:rPr>
            </w:pPr>
            <w:r w:rsidRPr="003C3367">
              <w:rPr>
                <w:rFonts w:ascii="Times New Roman" w:hAnsi="Times New Roman"/>
                <w:bCs/>
                <w:sz w:val="20"/>
                <w:szCs w:val="20"/>
              </w:rPr>
              <w:t>€ 190.124.779,51</w:t>
            </w:r>
          </w:p>
        </w:tc>
      </w:tr>
      <w:bookmarkEnd w:id="50"/>
      <w:bookmarkEnd w:id="51"/>
      <w:bookmarkEnd w:id="52"/>
      <w:bookmarkEnd w:id="53"/>
      <w:bookmarkEnd w:id="54"/>
    </w:tbl>
    <w:p w:rsidR="00121D80" w:rsidRPr="00E6333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rsidR="006835EC" w:rsidRPr="00E63330" w:rsidRDefault="0096592E" w:rsidP="00121D80">
      <w:pPr>
        <w:tabs>
          <w:tab w:val="left" w:pos="426"/>
        </w:tabs>
        <w:autoSpaceDE w:val="0"/>
        <w:autoSpaceDN w:val="0"/>
        <w:adjustRightInd w:val="0"/>
        <w:ind w:left="720" w:hanging="862"/>
        <w:jc w:val="both"/>
        <w:rPr>
          <w:rFonts w:ascii="Times New Roman" w:hAnsi="Times New Roman"/>
          <w:bCs/>
          <w:i/>
          <w:sz w:val="24"/>
          <w:szCs w:val="24"/>
        </w:rPr>
      </w:pPr>
      <w:r>
        <w:rPr>
          <w:rFonts w:ascii="Times New Roman" w:hAnsi="Times New Roman"/>
          <w:bCs/>
          <w:i/>
          <w:sz w:val="24"/>
          <w:szCs w:val="24"/>
        </w:rPr>
        <w:t>* Comprensivi di unità a tempo determinato ed escluso il Direttore</w:t>
      </w:r>
    </w:p>
    <w:p w:rsidR="000C2F86" w:rsidRPr="00E63330" w:rsidRDefault="0096592E"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31/12/2017, ultimo dato ufficialmente disponibile</w:t>
      </w:r>
    </w:p>
    <w:p w:rsidR="00676119" w:rsidRPr="00E63330" w:rsidRDefault="00676119" w:rsidP="00B67442">
      <w:pPr>
        <w:tabs>
          <w:tab w:val="left" w:pos="426"/>
        </w:tabs>
        <w:autoSpaceDE w:val="0"/>
        <w:autoSpaceDN w:val="0"/>
        <w:adjustRightInd w:val="0"/>
        <w:jc w:val="both"/>
        <w:rPr>
          <w:rFonts w:ascii="Times New Roman" w:hAnsi="Times New Roman"/>
          <w:bCs/>
          <w:i/>
          <w:sz w:val="2"/>
          <w:szCs w:val="24"/>
        </w:rPr>
      </w:pPr>
    </w:p>
    <w:p w:rsidR="00A62F4A" w:rsidRPr="00E63330" w:rsidRDefault="00A62F4A" w:rsidP="000C2F86">
      <w:pPr>
        <w:tabs>
          <w:tab w:val="left" w:pos="426"/>
        </w:tabs>
        <w:autoSpaceDE w:val="0"/>
        <w:autoSpaceDN w:val="0"/>
        <w:adjustRightInd w:val="0"/>
        <w:ind w:left="142" w:hanging="284"/>
        <w:jc w:val="both"/>
        <w:rPr>
          <w:rFonts w:ascii="Times New Roman" w:hAnsi="Times New Roman"/>
          <w:bCs/>
          <w:i/>
          <w:sz w:val="2"/>
          <w:szCs w:val="24"/>
        </w:rPr>
      </w:pPr>
    </w:p>
    <w:p w:rsidR="00D678FF" w:rsidRPr="00E63330" w:rsidRDefault="0096592E" w:rsidP="002F58B2">
      <w:pPr>
        <w:pStyle w:val="Titolo1"/>
      </w:pPr>
      <w:bookmarkStart w:id="55" w:name="_Toc1046948"/>
      <w:r w:rsidRPr="003C3367">
        <w:t>Contesto esterno e stakeholder:</w:t>
      </w:r>
      <w:bookmarkEnd w:id="55"/>
    </w:p>
    <w:p w:rsidR="005A7F3E" w:rsidRPr="00E63330" w:rsidRDefault="0096592E" w:rsidP="00635941">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L’ARCEA, nella sua qualità di Organismo Pagatore, deve confrontarsi con un contesto esterno piuttosto variegato e complesso, </w:t>
      </w:r>
      <w:r w:rsidRPr="00602596">
        <w:rPr>
          <w:rFonts w:ascii="Times New Roman" w:hAnsi="Times New Roman"/>
          <w:sz w:val="24"/>
        </w:rPr>
        <w:t xml:space="preserve">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w:t>
      </w:r>
      <w:r w:rsidR="0074533F">
        <w:rPr>
          <w:rFonts w:ascii="Times New Roman" w:hAnsi="Times New Roman"/>
          <w:sz w:val="24"/>
        </w:rPr>
        <w:t>MIPAAFT</w:t>
      </w:r>
      <w:r w:rsidRPr="00602596">
        <w:rPr>
          <w:rFonts w:ascii="Times New Roman" w:hAnsi="Times New Roman"/>
          <w:sz w:val="24"/>
        </w:rPr>
        <w:t>, Commissione Europea, ecc.).</w:t>
      </w:r>
    </w:p>
    <w:p w:rsidR="00F56D13" w:rsidRPr="00E63330" w:rsidRDefault="0096592E" w:rsidP="000758DE">
      <w:pPr>
        <w:autoSpaceDE w:val="0"/>
        <w:autoSpaceDN w:val="0"/>
        <w:adjustRightInd w:val="0"/>
        <w:spacing w:after="0"/>
        <w:jc w:val="both"/>
        <w:rPr>
          <w:rFonts w:ascii="Times New Roman" w:hAnsi="Times New Roman"/>
          <w:sz w:val="24"/>
        </w:rPr>
      </w:pPr>
      <w:r w:rsidRPr="006C5DF3">
        <w:rPr>
          <w:rFonts w:ascii="Times New Roman" w:hAnsi="Times New Roman"/>
          <w:sz w:val="24"/>
        </w:rPr>
        <w:t>Pertanto, l’Agenzia, nei confronti di tutte le predette categorie di stakeholder esterni, deve necessariamente garantire adegu</w:t>
      </w:r>
      <w:r w:rsidRPr="00602596">
        <w:rPr>
          <w:rFonts w:ascii="Times New Roman" w:hAnsi="Times New Roman"/>
          <w:sz w:val="24"/>
        </w:rPr>
        <w:t>ati e condivisi livelli di performance.</w:t>
      </w:r>
    </w:p>
    <w:p w:rsidR="004C5BC6" w:rsidRPr="00E63330" w:rsidRDefault="004C5BC6" w:rsidP="004C5BC6">
      <w:pPr>
        <w:pStyle w:val="Elencoacolori-Colore11"/>
        <w:autoSpaceDE w:val="0"/>
        <w:autoSpaceDN w:val="0"/>
        <w:adjustRightInd w:val="0"/>
        <w:spacing w:after="0" w:line="240" w:lineRule="auto"/>
        <w:ind w:left="709"/>
        <w:jc w:val="both"/>
        <w:rPr>
          <w:rFonts w:ascii="Times New Roman" w:hAnsi="Times New Roman"/>
          <w:sz w:val="24"/>
        </w:rPr>
      </w:pPr>
    </w:p>
    <w:p w:rsidR="004C5BC6" w:rsidRPr="00E63330" w:rsidRDefault="0096592E" w:rsidP="00312C3B">
      <w:pPr>
        <w:numPr>
          <w:ilvl w:val="0"/>
          <w:numId w:val="9"/>
        </w:numPr>
        <w:autoSpaceDE w:val="0"/>
        <w:autoSpaceDN w:val="0"/>
        <w:adjustRightInd w:val="0"/>
        <w:spacing w:after="120"/>
        <w:jc w:val="both"/>
        <w:rPr>
          <w:rFonts w:ascii="Times New Roman" w:hAnsi="Times New Roman"/>
          <w:bCs/>
          <w:sz w:val="24"/>
          <w:szCs w:val="24"/>
        </w:rPr>
      </w:pPr>
      <w:r w:rsidRPr="006C5DF3">
        <w:rPr>
          <w:rFonts w:ascii="Times New Roman" w:hAnsi="Times New Roman"/>
          <w:b/>
          <w:sz w:val="24"/>
          <w:u w:val="single"/>
        </w:rPr>
        <w:t>I beneficiari delle erogazioni</w:t>
      </w:r>
      <w:r w:rsidRPr="00602596">
        <w:rPr>
          <w:rFonts w:ascii="Times New Roman" w:hAnsi="Times New Roman"/>
          <w:b/>
          <w:sz w:val="24"/>
        </w:rPr>
        <w:t xml:space="preserve"> –</w:t>
      </w:r>
      <w:r w:rsidRPr="00602596">
        <w:rPr>
          <w:rFonts w:ascii="Times New Roman" w:hAnsi="Times New Roman"/>
          <w:sz w:val="24"/>
        </w:rPr>
        <w:t>Sono tutti i soggetti (privati e pubblici) che ricevono, a vario titolo, gli aiuti in agricoltura erogati dall’ARCEA. Tali stakeholder hanno necessità di ricevere le somme loro spettanti con celerità, trasparenza ed equità, nel rispetto della normativa di riferimento.</w:t>
      </w:r>
    </w:p>
    <w:p w:rsidR="00F56D13" w:rsidRPr="00E63330" w:rsidRDefault="00F56D13" w:rsidP="00F56D13">
      <w:pPr>
        <w:autoSpaceDE w:val="0"/>
        <w:autoSpaceDN w:val="0"/>
        <w:adjustRightInd w:val="0"/>
        <w:spacing w:after="0" w:line="240" w:lineRule="auto"/>
        <w:jc w:val="both"/>
        <w:rPr>
          <w:rFonts w:ascii="Times New Roman" w:hAnsi="Times New Roman"/>
          <w:sz w:val="8"/>
        </w:rPr>
      </w:pPr>
    </w:p>
    <w:p w:rsidR="004152A0" w:rsidRPr="00E63330" w:rsidRDefault="0096592E" w:rsidP="00312C3B">
      <w:pPr>
        <w:numPr>
          <w:ilvl w:val="0"/>
          <w:numId w:val="11"/>
        </w:numPr>
        <w:autoSpaceDE w:val="0"/>
        <w:autoSpaceDN w:val="0"/>
        <w:adjustRightInd w:val="0"/>
        <w:spacing w:after="0"/>
        <w:ind w:right="-1"/>
        <w:jc w:val="both"/>
        <w:rPr>
          <w:rFonts w:ascii="Times New Roman" w:hAnsi="Times New Roman"/>
          <w:sz w:val="24"/>
        </w:rPr>
      </w:pPr>
      <w:r w:rsidRPr="006C5DF3">
        <w:rPr>
          <w:rFonts w:ascii="Times New Roman" w:hAnsi="Times New Roman"/>
          <w:b/>
          <w:sz w:val="24"/>
          <w:u w:val="single"/>
        </w:rPr>
        <w:lastRenderedPageBreak/>
        <w:t>La Corte dei conti europea</w:t>
      </w:r>
      <w:r w:rsidRPr="00602596">
        <w:rPr>
          <w:rFonts w:ascii="Times New Roman" w:hAnsi="Times New Roman"/>
          <w:sz w:val="24"/>
        </w:rPr>
        <w:t xml:space="preserve"> - La funzione della Corte dei conti europea consiste nell'espletare</w:t>
      </w:r>
      <w:r w:rsidR="009B7CE6">
        <w:rPr>
          <w:rFonts w:ascii="Times New Roman" w:hAnsi="Times New Roman"/>
          <w:sz w:val="24"/>
        </w:rPr>
        <w:t xml:space="preserve"> </w:t>
      </w:r>
      <w:r w:rsidRPr="00602596">
        <w:rPr>
          <w:rFonts w:ascii="Times New Roman" w:hAnsi="Times New Roman"/>
          <w:sz w:val="24"/>
        </w:rPr>
        <w:t>attività di controllo indipendenti sulla riscossione e sull'utilizzo dei fondi dell'Unione europea, al fine di valutare le modalità con le quali le istituzioni europee assolvono alle proprie funzioni. La Corte esamina se le</w:t>
      </w:r>
      <w:r w:rsidR="009B7CE6">
        <w:rPr>
          <w:rFonts w:ascii="Times New Roman" w:hAnsi="Times New Roman"/>
          <w:sz w:val="24"/>
        </w:rPr>
        <w:t xml:space="preserve"> </w:t>
      </w:r>
      <w:r w:rsidRPr="00602596">
        <w:rPr>
          <w:rFonts w:ascii="Times New Roman" w:hAnsi="Times New Roman"/>
          <w:sz w:val="24"/>
        </w:rPr>
        <w:t>operazioni finanziarie sono state registrate correttamente, nonché eseguite in maniera legittima e</w:t>
      </w:r>
      <w:r w:rsidR="009B7CE6">
        <w:rPr>
          <w:rFonts w:ascii="Times New Roman" w:hAnsi="Times New Roman"/>
          <w:sz w:val="24"/>
        </w:rPr>
        <w:t xml:space="preserve"> </w:t>
      </w:r>
      <w:r w:rsidRPr="00602596">
        <w:rPr>
          <w:rFonts w:ascii="Times New Roman" w:hAnsi="Times New Roman"/>
          <w:sz w:val="24"/>
        </w:rPr>
        <w:t>regolare e gestite con l'intento di conseguire economicità, efficienza ed efficacia.</w:t>
      </w:r>
    </w:p>
    <w:p w:rsidR="006A4F19" w:rsidRPr="00E63330" w:rsidRDefault="006A4F19" w:rsidP="006A4F19">
      <w:pPr>
        <w:autoSpaceDE w:val="0"/>
        <w:autoSpaceDN w:val="0"/>
        <w:adjustRightInd w:val="0"/>
        <w:spacing w:after="0"/>
        <w:ind w:left="720" w:right="-1"/>
        <w:jc w:val="both"/>
        <w:rPr>
          <w:rFonts w:ascii="Times New Roman" w:hAnsi="Times New Roman"/>
          <w:sz w:val="16"/>
        </w:rPr>
      </w:pPr>
    </w:p>
    <w:p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La Commissione europea</w:t>
      </w:r>
      <w:r w:rsidRPr="00602596">
        <w:rPr>
          <w:rFonts w:ascii="Times New Roman" w:hAnsi="Times New Roman"/>
          <w:sz w:val="24"/>
        </w:rPr>
        <w:t xml:space="preserve"> -Propone le nuove leggi che il Parlamento ed il Consiglio</w:t>
      </w:r>
      <w:r w:rsidR="009B7CE6">
        <w:rPr>
          <w:rFonts w:ascii="Times New Roman" w:hAnsi="Times New Roman"/>
          <w:sz w:val="24"/>
        </w:rPr>
        <w:t xml:space="preserve"> </w:t>
      </w:r>
      <w:r w:rsidRPr="00602596">
        <w:rPr>
          <w:rFonts w:ascii="Times New Roman" w:hAnsi="Times New Roman"/>
          <w:sz w:val="24"/>
        </w:rPr>
        <w:t>adottano. Nel settore agricolo la Commissione garantisce l’applicazione della Politica agricola</w:t>
      </w:r>
      <w:r w:rsidR="009B7CE6">
        <w:rPr>
          <w:rFonts w:ascii="Times New Roman" w:hAnsi="Times New Roman"/>
          <w:sz w:val="24"/>
        </w:rPr>
        <w:t xml:space="preserve"> </w:t>
      </w:r>
      <w:r w:rsidRPr="00602596">
        <w:rPr>
          <w:rFonts w:ascii="Times New Roman" w:hAnsi="Times New Roman"/>
          <w:sz w:val="24"/>
        </w:rPr>
        <w:t>comune (PAC), effettua varie attività di controllo di natura contabile ed amministrativa sui</w:t>
      </w:r>
      <w:r w:rsidR="009B7CE6">
        <w:rPr>
          <w:rFonts w:ascii="Times New Roman" w:hAnsi="Times New Roman"/>
          <w:sz w:val="24"/>
        </w:rPr>
        <w:t xml:space="preserve"> </w:t>
      </w:r>
      <w:r w:rsidRPr="00602596">
        <w:rPr>
          <w:rFonts w:ascii="Times New Roman" w:hAnsi="Times New Roman"/>
          <w:sz w:val="24"/>
        </w:rPr>
        <w:t>contenuti dei conti annuali e del reporting periodico al fine di effettuare la liquidazione dei conti, effettua tutte le dettagliate attività di controllo previste dalle verifiche di conformità, sulla base di</w:t>
      </w:r>
      <w:r w:rsidR="009B7CE6">
        <w:rPr>
          <w:rFonts w:ascii="Times New Roman" w:hAnsi="Times New Roman"/>
          <w:sz w:val="24"/>
        </w:rPr>
        <w:t xml:space="preserve"> </w:t>
      </w:r>
      <w:r w:rsidRPr="00602596">
        <w:rPr>
          <w:rFonts w:ascii="Times New Roman" w:hAnsi="Times New Roman"/>
          <w:sz w:val="24"/>
        </w:rPr>
        <w:t>specifiche analisi dei rischi effettua attività di audit nei confronti degli organismi pagatori.</w:t>
      </w:r>
    </w:p>
    <w:p w:rsidR="005A7F3E" w:rsidRPr="003C3367" w:rsidRDefault="005A7F3E" w:rsidP="005A7F3E">
      <w:pPr>
        <w:autoSpaceDE w:val="0"/>
        <w:autoSpaceDN w:val="0"/>
        <w:adjustRightInd w:val="0"/>
        <w:spacing w:after="0" w:line="240" w:lineRule="auto"/>
        <w:rPr>
          <w:rFonts w:ascii="Times New Roman" w:hAnsi="Times New Roman"/>
          <w:sz w:val="16"/>
          <w:szCs w:val="16"/>
        </w:rPr>
      </w:pPr>
    </w:p>
    <w:p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Autorità competente</w:t>
      </w:r>
      <w:r w:rsidRPr="00602596">
        <w:rPr>
          <w:rFonts w:ascii="Times New Roman" w:hAnsi="Times New Roman"/>
          <w:sz w:val="24"/>
        </w:rPr>
        <w:t xml:space="preserve"> - Coincide con il Ministero per le Politiche agricole alimentari e</w:t>
      </w:r>
      <w:r w:rsidR="009B7CE6">
        <w:rPr>
          <w:rFonts w:ascii="Times New Roman" w:hAnsi="Times New Roman"/>
          <w:sz w:val="24"/>
        </w:rPr>
        <w:t xml:space="preserve"> </w:t>
      </w:r>
      <w:r w:rsidRPr="00602596">
        <w:rPr>
          <w:rFonts w:ascii="Times New Roman" w:hAnsi="Times New Roman"/>
          <w:sz w:val="24"/>
        </w:rPr>
        <w:t>forestali. Decide, con atto formale, in merito al riconoscimento dell’organismo pagatore sulla base</w:t>
      </w:r>
      <w:r w:rsidR="009B7CE6">
        <w:rPr>
          <w:rFonts w:ascii="Times New Roman" w:hAnsi="Times New Roman"/>
          <w:sz w:val="24"/>
        </w:rPr>
        <w:t xml:space="preserve"> </w:t>
      </w:r>
      <w:r w:rsidRPr="00602596">
        <w:rPr>
          <w:rFonts w:ascii="Times New Roman" w:hAnsi="Times New Roman"/>
          <w:sz w:val="24"/>
        </w:rPr>
        <w:t>dell’esame dei criteri per il riconoscimento; esercita una costante supervisione sugli organismi</w:t>
      </w:r>
      <w:r w:rsidR="009B7CE6">
        <w:rPr>
          <w:rFonts w:ascii="Times New Roman" w:hAnsi="Times New Roman"/>
          <w:sz w:val="24"/>
        </w:rPr>
        <w:t xml:space="preserve"> </w:t>
      </w:r>
      <w:r w:rsidRPr="00602596">
        <w:rPr>
          <w:rFonts w:ascii="Times New Roman" w:hAnsi="Times New Roman"/>
          <w:sz w:val="24"/>
        </w:rPr>
        <w:t>pagatori che ricadono sotto la sua responsabilità, anche sulla base delle certificazioni e delle</w:t>
      </w:r>
      <w:r w:rsidR="009B7CE6">
        <w:rPr>
          <w:rFonts w:ascii="Times New Roman" w:hAnsi="Times New Roman"/>
          <w:sz w:val="24"/>
        </w:rPr>
        <w:t xml:space="preserve"> </w:t>
      </w:r>
      <w:r w:rsidRPr="00602596">
        <w:rPr>
          <w:rFonts w:ascii="Times New Roman" w:hAnsi="Times New Roman"/>
          <w:sz w:val="24"/>
        </w:rPr>
        <w:t>relazioni redatte dagli organismi di certificazione.</w:t>
      </w:r>
    </w:p>
    <w:p w:rsidR="00AF6D5E" w:rsidRPr="003C3367" w:rsidRDefault="00AF6D5E" w:rsidP="00AF6D5E">
      <w:pPr>
        <w:autoSpaceDE w:val="0"/>
        <w:autoSpaceDN w:val="0"/>
        <w:adjustRightInd w:val="0"/>
        <w:spacing w:after="0"/>
        <w:ind w:left="720"/>
        <w:jc w:val="both"/>
        <w:rPr>
          <w:rFonts w:ascii="Times New Roman" w:hAnsi="Times New Roman"/>
          <w:sz w:val="16"/>
          <w:szCs w:val="16"/>
        </w:rPr>
      </w:pPr>
    </w:p>
    <w:p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coordinamento</w:t>
      </w:r>
      <w:r w:rsidRPr="00602596">
        <w:rPr>
          <w:rFonts w:ascii="Times New Roman" w:hAnsi="Times New Roman"/>
          <w:sz w:val="24"/>
        </w:rPr>
        <w:t xml:space="preserve"> - E’ rappresentato dall’AGEA Coordinamento. L’organismo</w:t>
      </w:r>
      <w:r w:rsidR="009B7CE6">
        <w:rPr>
          <w:rFonts w:ascii="Times New Roman" w:hAnsi="Times New Roman"/>
          <w:sz w:val="24"/>
        </w:rPr>
        <w:t xml:space="preserve"> </w:t>
      </w:r>
      <w:r w:rsidRPr="00602596">
        <w:rPr>
          <w:rFonts w:ascii="Times New Roman" w:hAnsi="Times New Roman"/>
          <w:sz w:val="24"/>
        </w:rPr>
        <w:t>di coordinamento funge da unico interlocutore della Commissione per conto dello Stato membro</w:t>
      </w:r>
      <w:r w:rsidR="009B7CE6">
        <w:rPr>
          <w:rFonts w:ascii="Times New Roman" w:hAnsi="Times New Roman"/>
          <w:sz w:val="24"/>
        </w:rPr>
        <w:t xml:space="preserve"> </w:t>
      </w:r>
      <w:r w:rsidRPr="00602596">
        <w:rPr>
          <w:rFonts w:ascii="Times New Roman" w:hAnsi="Times New Roman"/>
          <w:sz w:val="24"/>
        </w:rPr>
        <w:t>interessato, per tutte le questioni relative alla gestione dei fondi comunitari, in particolare per</w:t>
      </w:r>
      <w:r w:rsidR="009B7CE6">
        <w:rPr>
          <w:rFonts w:ascii="Times New Roman" w:hAnsi="Times New Roman"/>
          <w:sz w:val="24"/>
        </w:rPr>
        <w:t xml:space="preserve"> </w:t>
      </w:r>
      <w:r w:rsidRPr="00602596">
        <w:rPr>
          <w:rFonts w:ascii="Times New Roman" w:hAnsi="Times New Roman"/>
          <w:sz w:val="24"/>
        </w:rPr>
        <w:t>quanto riguarda la distribuzione dei testi e dei relativi orientamenti comunitari agli organismi</w:t>
      </w:r>
      <w:r w:rsidR="009B7CE6">
        <w:rPr>
          <w:rFonts w:ascii="Times New Roman" w:hAnsi="Times New Roman"/>
          <w:sz w:val="24"/>
        </w:rPr>
        <w:t xml:space="preserve"> </w:t>
      </w:r>
      <w:r w:rsidRPr="00602596">
        <w:rPr>
          <w:rFonts w:ascii="Times New Roman" w:hAnsi="Times New Roman"/>
          <w:sz w:val="24"/>
        </w:rPr>
        <w:t>pagatori e agli altri organismi responsabili della loro attuazione, promuovendo un’applicazione</w:t>
      </w:r>
      <w:r w:rsidR="009B7CE6">
        <w:rPr>
          <w:rFonts w:ascii="Times New Roman" w:hAnsi="Times New Roman"/>
          <w:sz w:val="24"/>
        </w:rPr>
        <w:t xml:space="preserve"> </w:t>
      </w:r>
      <w:r w:rsidRPr="00602596">
        <w:rPr>
          <w:rFonts w:ascii="Times New Roman" w:hAnsi="Times New Roman"/>
          <w:sz w:val="24"/>
        </w:rPr>
        <w:t>armonizzata di tali testi, e la messa a disposizione della Commissione di tutti i dati contabili</w:t>
      </w:r>
      <w:r w:rsidR="009B7CE6">
        <w:rPr>
          <w:rFonts w:ascii="Times New Roman" w:hAnsi="Times New Roman"/>
          <w:sz w:val="24"/>
        </w:rPr>
        <w:t xml:space="preserve"> </w:t>
      </w:r>
      <w:r w:rsidRPr="00602596">
        <w:rPr>
          <w:rFonts w:ascii="Times New Roman" w:hAnsi="Times New Roman"/>
          <w:sz w:val="24"/>
        </w:rPr>
        <w:t>necessari a fini statistici e di controllo.</w:t>
      </w:r>
    </w:p>
    <w:p w:rsidR="005A7F3E" w:rsidRPr="003C3367" w:rsidRDefault="005A7F3E" w:rsidP="005A7F3E">
      <w:pPr>
        <w:autoSpaceDE w:val="0"/>
        <w:autoSpaceDN w:val="0"/>
        <w:adjustRightInd w:val="0"/>
        <w:spacing w:after="0"/>
        <w:rPr>
          <w:rFonts w:ascii="Times New Roman" w:hAnsi="Times New Roman"/>
          <w:sz w:val="16"/>
          <w:szCs w:val="16"/>
        </w:rPr>
      </w:pPr>
    </w:p>
    <w:p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certificazione</w:t>
      </w:r>
      <w:r w:rsidRPr="00602596">
        <w:rPr>
          <w:rFonts w:ascii="Times New Roman" w:hAnsi="Times New Roman"/>
          <w:b/>
          <w:sz w:val="24"/>
        </w:rPr>
        <w:t xml:space="preserve"> -</w:t>
      </w:r>
      <w:r w:rsidRPr="00602596">
        <w:rPr>
          <w:rFonts w:ascii="Times New Roman" w:hAnsi="Times New Roman"/>
          <w:sz w:val="24"/>
        </w:rPr>
        <w:t xml:space="preserve"> E’ un soggetto esterno indipendente che esamina i conti ed il</w:t>
      </w:r>
      <w:r w:rsidR="009B7CE6">
        <w:rPr>
          <w:rFonts w:ascii="Times New Roman" w:hAnsi="Times New Roman"/>
          <w:sz w:val="24"/>
        </w:rPr>
        <w:t xml:space="preserve"> </w:t>
      </w:r>
      <w:r w:rsidRPr="00602596">
        <w:rPr>
          <w:rFonts w:ascii="Times New Roman" w:hAnsi="Times New Roman"/>
          <w:sz w:val="24"/>
        </w:rPr>
        <w:t>sistema di controllo posto in essere dall’organismo pagatore, attenendosi a norme sulla revisione</w:t>
      </w:r>
      <w:r w:rsidR="009B7CE6">
        <w:rPr>
          <w:rFonts w:ascii="Times New Roman" w:hAnsi="Times New Roman"/>
          <w:sz w:val="24"/>
        </w:rPr>
        <w:t xml:space="preserve"> </w:t>
      </w:r>
      <w:r w:rsidRPr="00602596">
        <w:rPr>
          <w:rFonts w:ascii="Times New Roman" w:hAnsi="Times New Roman"/>
          <w:sz w:val="24"/>
        </w:rPr>
        <w:t>dei conti internazionalmente riconosciute e tenendo conto di tutti gli orientamenti per l’applicazione</w:t>
      </w:r>
      <w:r w:rsidR="009B7CE6">
        <w:rPr>
          <w:rFonts w:ascii="Times New Roman" w:hAnsi="Times New Roman"/>
          <w:sz w:val="24"/>
        </w:rPr>
        <w:t xml:space="preserve"> </w:t>
      </w:r>
      <w:r w:rsidRPr="00602596">
        <w:rPr>
          <w:rFonts w:ascii="Times New Roman" w:hAnsi="Times New Roman"/>
          <w:sz w:val="24"/>
        </w:rPr>
        <w:t>di tali norme definiti dalla Commissione. Effettua i controlli nel corso e alla fine di ogni esercizio</w:t>
      </w:r>
      <w:r w:rsidR="009B7CE6">
        <w:rPr>
          <w:rFonts w:ascii="Times New Roman" w:hAnsi="Times New Roman"/>
          <w:sz w:val="24"/>
        </w:rPr>
        <w:t xml:space="preserve"> </w:t>
      </w:r>
      <w:r w:rsidRPr="00602596">
        <w:rPr>
          <w:rFonts w:ascii="Times New Roman" w:hAnsi="Times New Roman"/>
          <w:sz w:val="24"/>
        </w:rPr>
        <w:t>finanziario.</w:t>
      </w:r>
    </w:p>
    <w:p w:rsidR="005A7F3E" w:rsidRPr="003C3367" w:rsidRDefault="005A7F3E" w:rsidP="005A7F3E">
      <w:pPr>
        <w:autoSpaceDE w:val="0"/>
        <w:autoSpaceDN w:val="0"/>
        <w:adjustRightInd w:val="0"/>
        <w:spacing w:after="0"/>
        <w:rPr>
          <w:rFonts w:ascii="Times New Roman" w:hAnsi="Times New Roman"/>
          <w:sz w:val="16"/>
          <w:szCs w:val="16"/>
        </w:rPr>
      </w:pPr>
    </w:p>
    <w:p w:rsidR="00682DF7" w:rsidRPr="003C3367" w:rsidRDefault="0096592E" w:rsidP="00682DF7">
      <w:pPr>
        <w:pStyle w:val="Paragrafoelenco"/>
        <w:numPr>
          <w:ilvl w:val="0"/>
          <w:numId w:val="11"/>
        </w:numPr>
        <w:spacing w:after="0"/>
        <w:jc w:val="both"/>
        <w:rPr>
          <w:rFonts w:ascii="Times New Roman" w:hAnsi="Times New Roman"/>
        </w:rPr>
      </w:pPr>
      <w:r w:rsidRPr="003C3367">
        <w:rPr>
          <w:rFonts w:ascii="Times New Roman" w:hAnsi="Times New Roman"/>
          <w:b/>
          <w:sz w:val="24"/>
          <w:szCs w:val="24"/>
          <w:u w:val="single"/>
        </w:rPr>
        <w:t>Soggetti esterni deputati ai controlli presso le Aziende Agricole</w:t>
      </w:r>
      <w:r w:rsidRPr="003C3367">
        <w:rPr>
          <w:rFonts w:ascii="Times New Roman" w:hAnsi="Times New Roman"/>
          <w:sz w:val="24"/>
        </w:rPr>
        <w:t xml:space="preserve">– sono tecnici ed operatori esterni cui sono affidati compiti relativi ad alcune tipologie di controllo da condurre presso i beneficiari (ad esempio Controlli Aziendali Integrati, controlli di II livello sui Centri di Assistenza Agricola, controlli ex-post, </w:t>
      </w:r>
      <w:proofErr w:type="spellStart"/>
      <w:r w:rsidRPr="003C3367">
        <w:rPr>
          <w:rFonts w:ascii="Times New Roman" w:hAnsi="Times New Roman"/>
          <w:sz w:val="24"/>
        </w:rPr>
        <w:t>etc</w:t>
      </w:r>
      <w:proofErr w:type="spellEnd"/>
      <w:r w:rsidRPr="003C3367">
        <w:rPr>
          <w:rFonts w:ascii="Times New Roman" w:hAnsi="Times New Roman"/>
          <w:sz w:val="24"/>
        </w:rPr>
        <w:t>). In tale contesto, un ruolo rilevante assume l’Azienda per lo Sviluppo dell'Agricoltura Calabrese (ARSAC), con la quale l’ARCEA stipula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p>
    <w:p w:rsidR="00682DF7" w:rsidRPr="003C3367" w:rsidRDefault="00682DF7" w:rsidP="00A64AC7">
      <w:pPr>
        <w:autoSpaceDE w:val="0"/>
        <w:autoSpaceDN w:val="0"/>
        <w:adjustRightInd w:val="0"/>
        <w:spacing w:after="0"/>
        <w:ind w:left="720"/>
        <w:jc w:val="both"/>
        <w:rPr>
          <w:rFonts w:ascii="Times New Roman" w:hAnsi="Times New Roman"/>
          <w:sz w:val="24"/>
        </w:rPr>
      </w:pPr>
    </w:p>
    <w:p w:rsidR="001378E6" w:rsidRPr="003C3367" w:rsidRDefault="001378E6" w:rsidP="003C3367">
      <w:pPr>
        <w:autoSpaceDE w:val="0"/>
        <w:autoSpaceDN w:val="0"/>
        <w:adjustRightInd w:val="0"/>
        <w:spacing w:after="0"/>
        <w:jc w:val="both"/>
        <w:rPr>
          <w:rFonts w:ascii="Times New Roman" w:hAnsi="Times New Roman"/>
          <w:b/>
          <w:sz w:val="16"/>
          <w:szCs w:val="16"/>
          <w:u w:val="single"/>
        </w:rPr>
      </w:pPr>
    </w:p>
    <w:p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lastRenderedPageBreak/>
        <w:t xml:space="preserve">Gli Organismi delegati </w:t>
      </w:r>
      <w:r w:rsidRPr="00602596">
        <w:rPr>
          <w:rFonts w:ascii="Times New Roman" w:hAnsi="Times New Roman"/>
          <w:sz w:val="24"/>
        </w:rPr>
        <w:t>– Sono organismi a cui l’Agenzia ha delegato l’esecuzione di alcuni</w:t>
      </w:r>
      <w:r w:rsidR="009B7CE6">
        <w:rPr>
          <w:rFonts w:ascii="Times New Roman" w:hAnsi="Times New Roman"/>
          <w:sz w:val="24"/>
        </w:rPr>
        <w:t xml:space="preserve"> </w:t>
      </w:r>
      <w:r w:rsidRPr="00602596">
        <w:rPr>
          <w:rFonts w:ascii="Times New Roman" w:hAnsi="Times New Roman"/>
          <w:sz w:val="24"/>
        </w:rPr>
        <w:t>compiti conformemente a quanto previsto dal Reg. (UE) n. 1306/2013 e dal Reg. (UE) n. 907/2014;essi collaborano con l’ARCEA tramite accordo formale (convenzione), nel quale si specificano</w:t>
      </w:r>
      <w:r w:rsidR="009B7CE6">
        <w:rPr>
          <w:rFonts w:ascii="Times New Roman" w:hAnsi="Times New Roman"/>
          <w:sz w:val="24"/>
        </w:rPr>
        <w:t xml:space="preserve"> </w:t>
      </w:r>
      <w:r w:rsidRPr="00602596">
        <w:rPr>
          <w:rFonts w:ascii="Times New Roman" w:hAnsi="Times New Roman"/>
          <w:sz w:val="24"/>
        </w:rPr>
        <w:t>l’oggetto della delega, le modalità di svolgimento delle attività e le responsabilità e gli obblighi</w:t>
      </w:r>
      <w:r w:rsidR="009B7CE6">
        <w:rPr>
          <w:rFonts w:ascii="Times New Roman" w:hAnsi="Times New Roman"/>
          <w:sz w:val="24"/>
        </w:rPr>
        <w:t xml:space="preserve"> </w:t>
      </w:r>
      <w:r w:rsidRPr="00602596">
        <w:rPr>
          <w:rFonts w:ascii="Times New Roman" w:hAnsi="Times New Roman"/>
          <w:sz w:val="24"/>
        </w:rPr>
        <w:t>delle parti.</w:t>
      </w:r>
    </w:p>
    <w:p w:rsidR="0064168A" w:rsidRPr="00E63330" w:rsidRDefault="0096592E" w:rsidP="00C71E2F">
      <w:pPr>
        <w:autoSpaceDE w:val="0"/>
        <w:autoSpaceDN w:val="0"/>
        <w:adjustRightInd w:val="0"/>
        <w:spacing w:after="0"/>
        <w:ind w:firstLine="708"/>
        <w:jc w:val="both"/>
        <w:rPr>
          <w:rFonts w:ascii="Times New Roman" w:hAnsi="Times New Roman"/>
          <w:sz w:val="24"/>
        </w:rPr>
      </w:pPr>
      <w:r w:rsidRPr="006C5DF3">
        <w:rPr>
          <w:rFonts w:ascii="Times New Roman" w:hAnsi="Times New Roman"/>
          <w:sz w:val="24"/>
        </w:rPr>
        <w:t>L’ARCEA ha delegato alcune delle proprie funzioni ai seguenti soggetti:</w:t>
      </w:r>
    </w:p>
    <w:p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CAA;</w:t>
      </w:r>
    </w:p>
    <w:p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Regione Calabria (Dipartimento Agricoltura);</w:t>
      </w:r>
    </w:p>
    <w:p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SIN S.p.A. (Ente strumentale di AGEA).</w:t>
      </w:r>
    </w:p>
    <w:p w:rsidR="006A4F19" w:rsidRPr="00E63330" w:rsidRDefault="006A4F19" w:rsidP="006A4F19">
      <w:pPr>
        <w:autoSpaceDE w:val="0"/>
        <w:autoSpaceDN w:val="0"/>
        <w:adjustRightInd w:val="0"/>
        <w:spacing w:after="0"/>
        <w:ind w:left="1440"/>
        <w:jc w:val="both"/>
        <w:rPr>
          <w:rFonts w:ascii="Times New Roman" w:hAnsi="Times New Roman"/>
          <w:sz w:val="24"/>
        </w:rPr>
      </w:pPr>
    </w:p>
    <w:p w:rsidR="00941D1D" w:rsidRPr="00E63330" w:rsidRDefault="00941D1D" w:rsidP="0064168A">
      <w:pPr>
        <w:autoSpaceDE w:val="0"/>
        <w:autoSpaceDN w:val="0"/>
        <w:adjustRightInd w:val="0"/>
        <w:spacing w:after="0"/>
        <w:jc w:val="both"/>
        <w:rPr>
          <w:rFonts w:ascii="Times New Roman" w:hAnsi="Times New Roman"/>
          <w:sz w:val="14"/>
        </w:rPr>
      </w:pPr>
    </w:p>
    <w:p w:rsidR="0064168A" w:rsidRPr="00E63330" w:rsidRDefault="0096592E" w:rsidP="00BE7F68">
      <w:pPr>
        <w:numPr>
          <w:ilvl w:val="0"/>
          <w:numId w:val="5"/>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Attività delegate ai CAA:</w:t>
      </w:r>
    </w:p>
    <w:p w:rsidR="0064168A" w:rsidRPr="00E63330" w:rsidRDefault="0064168A" w:rsidP="0064168A">
      <w:pPr>
        <w:autoSpaceDE w:val="0"/>
        <w:autoSpaceDN w:val="0"/>
        <w:adjustRightInd w:val="0"/>
        <w:spacing w:after="0"/>
        <w:jc w:val="both"/>
        <w:rPr>
          <w:rFonts w:ascii="Times New Roman" w:hAnsi="Times New Roman"/>
          <w:sz w:val="16"/>
        </w:rPr>
      </w:pPr>
    </w:p>
    <w:p w:rsidR="00D42FFD" w:rsidRPr="00E63330" w:rsidRDefault="0096592E" w:rsidP="0064168A">
      <w:pPr>
        <w:autoSpaceDE w:val="0"/>
        <w:autoSpaceDN w:val="0"/>
        <w:adjustRightInd w:val="0"/>
        <w:spacing w:after="0"/>
        <w:jc w:val="both"/>
        <w:rPr>
          <w:rFonts w:ascii="Times New Roman" w:hAnsi="Times New Roman"/>
          <w:sz w:val="24"/>
        </w:rPr>
      </w:pPr>
      <w:r w:rsidRPr="006C5DF3">
        <w:rPr>
          <w:rFonts w:ascii="Times New Roman" w:hAnsi="Times New Roman"/>
          <w:sz w:val="24"/>
        </w:rPr>
        <w:t>Ai CAA sono delegate la costituzione, la conservazione, la custodia e l’aggiornamento dei fascicoli aziendali, i cui dati confluiscono nel SIAN.</w:t>
      </w:r>
    </w:p>
    <w:p w:rsidR="00D42FFD" w:rsidRPr="00E63330" w:rsidRDefault="0096592E" w:rsidP="00D42FFD">
      <w:pPr>
        <w:autoSpaceDE w:val="0"/>
        <w:autoSpaceDN w:val="0"/>
        <w:adjustRightInd w:val="0"/>
        <w:spacing w:after="0"/>
        <w:jc w:val="both"/>
        <w:rPr>
          <w:rFonts w:ascii="Times New Roman" w:hAnsi="Times New Roman"/>
          <w:sz w:val="24"/>
        </w:rPr>
      </w:pPr>
      <w:r w:rsidRPr="006C5DF3">
        <w:rPr>
          <w:rFonts w:ascii="Times New Roman" w:hAnsi="Times New Roman"/>
          <w:sz w:val="24"/>
        </w:rPr>
        <w:t>In particolare rientrano tra le attività delegate:</w:t>
      </w:r>
    </w:p>
    <w:p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 xml:space="preserve">assicurare l’identificazione </w:t>
      </w:r>
      <w:r w:rsidRPr="00602596">
        <w:rPr>
          <w:rFonts w:ascii="Times New Roman" w:hAnsi="Times New Roman"/>
          <w:sz w:val="24"/>
        </w:rPr>
        <w:t>univoca del produttore mandante, nonché acquisire certificazione bancaria attestante il codice IBAN;</w:t>
      </w:r>
    </w:p>
    <w:p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all’accettazione e registrazione a sistema delle domande di aiuto e/o dichiarazioni presentate dal produttore;</w:t>
      </w:r>
    </w:p>
    <w:p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gestione delle fa</w:t>
      </w:r>
      <w:r w:rsidRPr="00602596">
        <w:rPr>
          <w:rFonts w:ascii="Times New Roman" w:hAnsi="Times New Roman"/>
          <w:sz w:val="24"/>
        </w:rPr>
        <w:t>si di ricevibilità (completezza, adeguatezza e correttezza formale), ricezione e protocollazione della documentazione prodotta dall’intestatario del fascicolo aziendale;</w:t>
      </w:r>
    </w:p>
    <w:p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tracciatura di tutte le attività amministrative svolte;</w:t>
      </w:r>
    </w:p>
    <w:p w:rsidR="00D42FFD"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w:t>
      </w:r>
      <w:r w:rsidRPr="00602596">
        <w:rPr>
          <w:rFonts w:ascii="Times New Roman" w:hAnsi="Times New Roman"/>
          <w:sz w:val="24"/>
        </w:rPr>
        <w:t xml:space="preserve">a verifica, attestata da apposita </w:t>
      </w:r>
      <w:proofErr w:type="spellStart"/>
      <w:r w:rsidRPr="00602596">
        <w:rPr>
          <w:rFonts w:ascii="Times New Roman" w:hAnsi="Times New Roman"/>
          <w:sz w:val="24"/>
        </w:rPr>
        <w:t>check</w:t>
      </w:r>
      <w:proofErr w:type="spellEnd"/>
      <w:r w:rsidRPr="00602596">
        <w:rPr>
          <w:rFonts w:ascii="Times New Roman" w:hAnsi="Times New Roman"/>
          <w:sz w:val="24"/>
        </w:rPr>
        <w:t>-list, della presenza, completezza, conformità e corrispondenza alla normativa vigente dei documenti da inserire nei fascicoli dei produttori.</w:t>
      </w:r>
    </w:p>
    <w:p w:rsidR="0064168A" w:rsidRPr="00E63330" w:rsidRDefault="0064168A" w:rsidP="005A7F3E">
      <w:pPr>
        <w:autoSpaceDE w:val="0"/>
        <w:autoSpaceDN w:val="0"/>
        <w:adjustRightInd w:val="0"/>
        <w:spacing w:after="0"/>
        <w:jc w:val="both"/>
        <w:rPr>
          <w:rFonts w:ascii="Times New Roman" w:hAnsi="Times New Roman"/>
          <w:i/>
          <w:sz w:val="24"/>
          <w:u w:val="single"/>
        </w:rPr>
      </w:pPr>
    </w:p>
    <w:p w:rsidR="00275181" w:rsidRPr="00E63330" w:rsidRDefault="0096592E" w:rsidP="002A60AA">
      <w:pPr>
        <w:numPr>
          <w:ilvl w:val="0"/>
          <w:numId w:val="4"/>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t>Attività delegate alla Regione Calabria (Dipartimento Agricoltura):</w:t>
      </w:r>
    </w:p>
    <w:p w:rsidR="00275181" w:rsidRPr="00E63330" w:rsidRDefault="00275181" w:rsidP="00275181">
      <w:pPr>
        <w:autoSpaceDE w:val="0"/>
        <w:autoSpaceDN w:val="0"/>
        <w:adjustRightInd w:val="0"/>
        <w:spacing w:after="0" w:line="240" w:lineRule="auto"/>
        <w:rPr>
          <w:rFonts w:ascii="Times New Roman" w:hAnsi="Times New Roman"/>
          <w:sz w:val="24"/>
        </w:rPr>
      </w:pPr>
    </w:p>
    <w:p w:rsidR="00381272" w:rsidRPr="00E63330" w:rsidRDefault="0096592E" w:rsidP="004C62B6">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L’ </w:t>
      </w:r>
      <w:r w:rsidR="00A52606" w:rsidRPr="006C5DF3">
        <w:rPr>
          <w:rFonts w:ascii="Times New Roman" w:hAnsi="Times New Roman"/>
          <w:sz w:val="24"/>
        </w:rPr>
        <w:t>ARCEA, a</w:t>
      </w:r>
      <w:r w:rsidRPr="00602596">
        <w:rPr>
          <w:rFonts w:ascii="Times New Roman" w:hAnsi="Times New Roman"/>
          <w:sz w:val="24"/>
        </w:rPr>
        <w:t xml:space="preserve"> settembre del 2017</w:t>
      </w:r>
      <w:r w:rsidR="00A52606">
        <w:rPr>
          <w:rFonts w:ascii="Times New Roman" w:hAnsi="Times New Roman"/>
          <w:sz w:val="24"/>
        </w:rPr>
        <w:t>,</w:t>
      </w:r>
      <w:r w:rsidRPr="00602596">
        <w:rPr>
          <w:rFonts w:ascii="Times New Roman" w:hAnsi="Times New Roman"/>
          <w:sz w:val="24"/>
        </w:rPr>
        <w:t xml:space="preserve"> ha sottoscritto un nuovo protocollo d’intesa con il quale ha modificato il rapporto di deleghe affidate al Dipartimento Agricoltura della Regione Calabria per l’esecuzione di alcune fasi della propria funzione di autorizzazione dei pagamenti.</w:t>
      </w:r>
      <w:r w:rsidR="009B7CE6">
        <w:rPr>
          <w:rFonts w:ascii="Times New Roman" w:hAnsi="Times New Roman"/>
          <w:sz w:val="24"/>
        </w:rPr>
        <w:t xml:space="preserve"> </w:t>
      </w:r>
      <w:r w:rsidRPr="00602596">
        <w:rPr>
          <w:rFonts w:ascii="Times New Roman" w:hAnsi="Times New Roman"/>
          <w:sz w:val="24"/>
        </w:rPr>
        <w:t>In particolare, alla struttura competente individuata in seno al Dipartimento Agricoltura, compete:</w:t>
      </w:r>
    </w:p>
    <w:p w:rsidR="00381272" w:rsidRPr="00E63330" w:rsidRDefault="00381272" w:rsidP="00381272">
      <w:pPr>
        <w:autoSpaceDE w:val="0"/>
        <w:autoSpaceDN w:val="0"/>
        <w:adjustRightInd w:val="0"/>
        <w:spacing w:after="0" w:line="240" w:lineRule="auto"/>
        <w:jc w:val="both"/>
        <w:rPr>
          <w:rFonts w:ascii="Times New Roman" w:hAnsi="Times New Roman"/>
          <w:sz w:val="6"/>
        </w:rPr>
      </w:pP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ricevere le domande di pagamento;</w:t>
      </w: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eseguire il controllo amministrativo;</w:t>
      </w: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definire gli elenchi di liquidazione;</w:t>
      </w: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effettuare i controlli in loco, di cui all’art. 59del Reg. (UE) 1326/13 e dell’art. 24 del Reg (UE) 809/2014;</w:t>
      </w: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verificare il puntuale andamento/avanzamento delle azioni correttive previste dal Piano d’azione per la riduzione del Tasso di errore</w:t>
      </w:r>
    </w:p>
    <w:p w:rsidR="001378E6" w:rsidRPr="00897297" w:rsidRDefault="0096592E" w:rsidP="003C3367">
      <w:pPr>
        <w:pStyle w:val="Paragrafoelenco"/>
        <w:numPr>
          <w:ilvl w:val="0"/>
          <w:numId w:val="80"/>
        </w:numPr>
        <w:rPr>
          <w:rFonts w:ascii="Times New Roman" w:hAnsi="Times New Roman"/>
          <w:sz w:val="24"/>
          <w:szCs w:val="24"/>
        </w:rPr>
      </w:pPr>
      <w:r w:rsidRPr="003C3367">
        <w:rPr>
          <w:rFonts w:ascii="Times New Roman" w:hAnsi="Times New Roman"/>
          <w:sz w:val="24"/>
          <w:szCs w:val="24"/>
        </w:rPr>
        <w:t>garantire, in ogni fase di vigenza della delega, la corretta e puntuale attuazione della previsione di cui all’art. 58 del Reg. (UE) 1326/13.</w:t>
      </w:r>
    </w:p>
    <w:p w:rsidR="004C62B6" w:rsidRPr="003C3367" w:rsidRDefault="004C62B6" w:rsidP="004C62B6">
      <w:pPr>
        <w:spacing w:after="120"/>
        <w:ind w:left="1060"/>
        <w:jc w:val="both"/>
        <w:rPr>
          <w:rFonts w:ascii="Times New Roman" w:hAnsi="Times New Roman"/>
          <w:i/>
        </w:rPr>
      </w:pPr>
    </w:p>
    <w:p w:rsidR="00275181" w:rsidRPr="00E63330" w:rsidRDefault="0096592E" w:rsidP="00BE7F68">
      <w:pPr>
        <w:numPr>
          <w:ilvl w:val="0"/>
          <w:numId w:val="7"/>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lastRenderedPageBreak/>
        <w:t>Le attività delegate al SIN S.p.A. (Ente strumentale di AGEA):</w:t>
      </w:r>
    </w:p>
    <w:p w:rsidR="00275181" w:rsidRPr="00E63330" w:rsidRDefault="00275181" w:rsidP="00275181">
      <w:pPr>
        <w:autoSpaceDE w:val="0"/>
        <w:autoSpaceDN w:val="0"/>
        <w:adjustRightInd w:val="0"/>
        <w:spacing w:after="0" w:line="240" w:lineRule="auto"/>
        <w:rPr>
          <w:rFonts w:ascii="Times New Roman" w:hAnsi="Times New Roman"/>
          <w:sz w:val="24"/>
        </w:rPr>
      </w:pPr>
    </w:p>
    <w:p w:rsidR="00676119" w:rsidRPr="00E63330" w:rsidRDefault="0096592E" w:rsidP="00F76345">
      <w:pPr>
        <w:numPr>
          <w:ilvl w:val="0"/>
          <w:numId w:val="39"/>
        </w:numPr>
        <w:spacing w:after="0"/>
        <w:ind w:left="709" w:right="533" w:hanging="425"/>
        <w:jc w:val="both"/>
        <w:rPr>
          <w:rFonts w:ascii="Times New Roman" w:hAnsi="Times New Roman"/>
          <w:sz w:val="24"/>
        </w:rPr>
      </w:pPr>
      <w:r w:rsidRPr="006C5DF3">
        <w:rPr>
          <w:rFonts w:ascii="Times New Roman" w:hAnsi="Times New Roman"/>
          <w:sz w:val="24"/>
        </w:rPr>
        <w:t>In data 14 ottobre 2015</w:t>
      </w:r>
      <w:r w:rsidRPr="00602596">
        <w:rPr>
          <w:rFonts w:ascii="Times New Roman" w:hAnsi="Times New Roman"/>
          <w:sz w:val="24"/>
        </w:rPr>
        <w:t xml:space="preserve">, l'ARCEA e SIN S.p.A. hanno sottoscritto un Atto esecutivo (Rep. n. 21/2015), avente durata di 36 mesi (dal 1 gennaio 2015 al 31 dicembre 2017) e relativo all'affidamento di talune attività delegate, con particolare riferimento a:supporto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del Reg. (UE) n. 1306/2013, nonché degli altri regolamenti </w:t>
      </w:r>
      <w:proofErr w:type="spellStart"/>
      <w:r w:rsidRPr="00602596">
        <w:rPr>
          <w:rFonts w:ascii="Times New Roman" w:hAnsi="Times New Roman"/>
          <w:sz w:val="24"/>
        </w:rPr>
        <w:t>unionali</w:t>
      </w:r>
      <w:proofErr w:type="spellEnd"/>
      <w:r w:rsidRPr="00602596">
        <w:rPr>
          <w:rFonts w:ascii="Times New Roman" w:hAnsi="Times New Roman"/>
          <w:sz w:val="24"/>
        </w:rPr>
        <w:t xml:space="preserve"> in materia; detti servizi sono relativi in particolare ai settori:</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Domanda unica;</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Sviluppo Rurale.</w:t>
      </w:r>
    </w:p>
    <w:p w:rsidR="00676119" w:rsidRPr="00E63330" w:rsidRDefault="00676119" w:rsidP="00676119">
      <w:pPr>
        <w:tabs>
          <w:tab w:val="left" w:pos="709"/>
        </w:tabs>
        <w:ind w:left="709" w:right="533"/>
        <w:jc w:val="both"/>
        <w:rPr>
          <w:rFonts w:ascii="Times New Roman" w:hAnsi="Times New Roman"/>
          <w:spacing w:val="-3"/>
          <w:sz w:val="10"/>
        </w:rPr>
      </w:pPr>
    </w:p>
    <w:p w:rsidR="00676119" w:rsidRPr="00E63330" w:rsidRDefault="0096592E" w:rsidP="00F76345">
      <w:pPr>
        <w:numPr>
          <w:ilvl w:val="0"/>
          <w:numId w:val="39"/>
        </w:numPr>
        <w:spacing w:after="0"/>
        <w:ind w:left="567" w:right="533" w:hanging="141"/>
        <w:jc w:val="both"/>
        <w:rPr>
          <w:rFonts w:ascii="Times New Roman" w:hAnsi="Times New Roman"/>
          <w:sz w:val="24"/>
        </w:rPr>
      </w:pPr>
      <w:r w:rsidRPr="006C5DF3">
        <w:rPr>
          <w:rFonts w:ascii="Times New Roman" w:hAnsi="Times New Roman"/>
          <w:sz w:val="24"/>
        </w:rPr>
        <w:t>esecuzione dei seguenti controlli relativi alla Domanda Unica di compet</w:t>
      </w:r>
      <w:r w:rsidRPr="00602596">
        <w:rPr>
          <w:rFonts w:ascii="Times New Roman" w:hAnsi="Times New Roman"/>
          <w:sz w:val="24"/>
        </w:rPr>
        <w:t>enza dell’Organismo pagatore ARCEA:</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controlli oggettivi aziendali per la zootecnia (ammissibilità e condizionalità);</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controlli aziendali CGO e controlli BCAA relativi agli “standard 5.1, 5.2 e 4.6” del Decreto del Ministero delle Politiche Agricole, Alimen</w:t>
      </w:r>
      <w:r w:rsidRPr="00602596">
        <w:rPr>
          <w:rFonts w:ascii="Times New Roman" w:hAnsi="Times New Roman"/>
          <w:sz w:val="24"/>
        </w:rPr>
        <w:t>tari e Forestali n. 30125, del 22 dicembre 2009 (come modificato dal DM 10346 del 13 maggio 2011).</w:t>
      </w:r>
    </w:p>
    <w:p w:rsidR="00676119" w:rsidRPr="00E63330" w:rsidRDefault="00676119" w:rsidP="00F76345">
      <w:pPr>
        <w:ind w:left="567" w:right="533" w:hanging="141"/>
        <w:jc w:val="both"/>
        <w:rPr>
          <w:rFonts w:ascii="Times New Roman" w:hAnsi="Times New Roman"/>
          <w:sz w:val="8"/>
        </w:rPr>
      </w:pPr>
    </w:p>
    <w:p w:rsidR="00676119" w:rsidRPr="00E63330" w:rsidRDefault="0096592E" w:rsidP="00F76345">
      <w:pPr>
        <w:numPr>
          <w:ilvl w:val="0"/>
          <w:numId w:val="39"/>
        </w:numPr>
        <w:spacing w:after="0"/>
        <w:ind w:left="567" w:right="533" w:hanging="141"/>
        <w:jc w:val="both"/>
        <w:rPr>
          <w:rFonts w:ascii="Times New Roman" w:hAnsi="Times New Roman"/>
          <w:sz w:val="24"/>
        </w:rPr>
      </w:pPr>
      <w:r w:rsidRPr="006C5DF3">
        <w:rPr>
          <w:rFonts w:ascii="Times New Roman" w:hAnsi="Times New Roman"/>
          <w:sz w:val="24"/>
        </w:rPr>
        <w:t>esecuzione dei seguenti controlli relativi a Sviluppo Rurale di competenza dell’Organismo pagatore ARCEA:</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 xml:space="preserve">controlli oggettivi aziendali per la verifica </w:t>
      </w:r>
      <w:r w:rsidRPr="00602596">
        <w:rPr>
          <w:rFonts w:ascii="Times New Roman" w:hAnsi="Times New Roman"/>
          <w:sz w:val="24"/>
        </w:rPr>
        <w:t>degli impegni;</w:t>
      </w:r>
    </w:p>
    <w:p w:rsidR="00676119" w:rsidRPr="00E63330" w:rsidRDefault="0096592E" w:rsidP="00B67442">
      <w:pPr>
        <w:numPr>
          <w:ilvl w:val="0"/>
          <w:numId w:val="40"/>
        </w:numPr>
        <w:spacing w:after="0"/>
        <w:ind w:right="533"/>
        <w:jc w:val="both"/>
        <w:rPr>
          <w:rFonts w:ascii="Times New Roman" w:hAnsi="Times New Roman"/>
          <w:sz w:val="24"/>
        </w:rPr>
      </w:pPr>
      <w:r w:rsidRPr="006C5DF3">
        <w:rPr>
          <w:rFonts w:ascii="Times New Roman" w:hAnsi="Times New Roman"/>
          <w:sz w:val="24"/>
        </w:rPr>
        <w:t xml:space="preserve">controlli oggettivi aziendali CGO e BCAA standard 5.1, 5.2 e 4.6; </w:t>
      </w:r>
    </w:p>
    <w:p w:rsidR="00676119" w:rsidRPr="00E63330" w:rsidRDefault="0096592E" w:rsidP="00F76345">
      <w:pPr>
        <w:numPr>
          <w:ilvl w:val="0"/>
          <w:numId w:val="39"/>
        </w:numPr>
        <w:spacing w:after="120"/>
        <w:ind w:left="567" w:right="533" w:hanging="141"/>
        <w:jc w:val="both"/>
        <w:rPr>
          <w:rFonts w:ascii="Times New Roman" w:hAnsi="Times New Roman"/>
          <w:sz w:val="24"/>
        </w:rPr>
      </w:pPr>
      <w:r w:rsidRPr="006C5DF3">
        <w:rPr>
          <w:rFonts w:ascii="Times New Roman" w:hAnsi="Times New Roman"/>
          <w:sz w:val="24"/>
        </w:rPr>
        <w:t>supporto delle funzioni di contabilizzazione e esecuzione dei pagamenti;</w:t>
      </w:r>
    </w:p>
    <w:p w:rsidR="00676119" w:rsidRPr="00E63330" w:rsidRDefault="0096592E" w:rsidP="00F76345">
      <w:pPr>
        <w:numPr>
          <w:ilvl w:val="0"/>
          <w:numId w:val="39"/>
        </w:numPr>
        <w:spacing w:after="120"/>
        <w:ind w:left="567" w:right="533" w:hanging="141"/>
        <w:jc w:val="both"/>
        <w:rPr>
          <w:rFonts w:ascii="Times New Roman" w:hAnsi="Times New Roman"/>
          <w:sz w:val="24"/>
        </w:rPr>
      </w:pPr>
      <w:r w:rsidRPr="006C5DF3">
        <w:rPr>
          <w:rFonts w:ascii="Times New Roman" w:hAnsi="Times New Roman"/>
          <w:sz w:val="24"/>
        </w:rPr>
        <w:t>supporto della gestione dei crediti da irregolarità, crediti settoriali, garanzie e pignoramenti dell</w:t>
      </w:r>
      <w:r w:rsidRPr="00602596">
        <w:rPr>
          <w:rFonts w:ascii="Times New Roman" w:hAnsi="Times New Roman"/>
          <w:sz w:val="24"/>
        </w:rPr>
        <w:t>’Organismo pagatore ARCEA e del contenzioso comunitario;</w:t>
      </w:r>
    </w:p>
    <w:p w:rsidR="00676119" w:rsidRPr="00E63330" w:rsidRDefault="0096592E" w:rsidP="00F76345">
      <w:pPr>
        <w:numPr>
          <w:ilvl w:val="0"/>
          <w:numId w:val="39"/>
        </w:numPr>
        <w:spacing w:after="120"/>
        <w:ind w:left="567" w:right="533" w:hanging="141"/>
        <w:jc w:val="both"/>
        <w:rPr>
          <w:rFonts w:ascii="Times New Roman" w:hAnsi="Times New Roman"/>
          <w:sz w:val="24"/>
        </w:rPr>
      </w:pPr>
      <w:r w:rsidRPr="006C5DF3">
        <w:rPr>
          <w:rFonts w:ascii="Times New Roman" w:hAnsi="Times New Roman"/>
          <w:sz w:val="24"/>
        </w:rPr>
        <w:t>servizi di monitoraggio e supporto alle decisioni, al fine di individuare costantemente, rispetto allo stato dei procedimenti amministrativi e delle banche dati di competenza dell’OP, le azioni migli</w:t>
      </w:r>
      <w:r w:rsidRPr="00602596">
        <w:rPr>
          <w:rFonts w:ascii="Times New Roman" w:hAnsi="Times New Roman"/>
          <w:sz w:val="24"/>
        </w:rPr>
        <w:t>orative e correttive da porre in essere;</w:t>
      </w:r>
    </w:p>
    <w:p w:rsidR="00676119" w:rsidRPr="00E63330" w:rsidRDefault="0096592E" w:rsidP="00F76345">
      <w:pPr>
        <w:numPr>
          <w:ilvl w:val="0"/>
          <w:numId w:val="39"/>
        </w:numPr>
        <w:spacing w:after="120"/>
        <w:ind w:left="567" w:right="533" w:hanging="141"/>
        <w:jc w:val="both"/>
        <w:rPr>
          <w:rFonts w:ascii="Times New Roman" w:hAnsi="Times New Roman"/>
          <w:sz w:val="24"/>
        </w:rPr>
      </w:pPr>
      <w:r w:rsidRPr="006C5DF3">
        <w:rPr>
          <w:rFonts w:ascii="Times New Roman" w:hAnsi="Times New Roman"/>
          <w:sz w:val="24"/>
        </w:rPr>
        <w:t xml:space="preserve">servizi per la partecipazione ai procedimenti amministrativi ai sensi della legge 241/90 e </w:t>
      </w:r>
      <w:proofErr w:type="spellStart"/>
      <w:r w:rsidRPr="006C5DF3">
        <w:rPr>
          <w:rFonts w:ascii="Times New Roman" w:hAnsi="Times New Roman"/>
          <w:sz w:val="24"/>
        </w:rPr>
        <w:t>s.m.i.</w:t>
      </w:r>
      <w:proofErr w:type="spellEnd"/>
      <w:r w:rsidRPr="006C5DF3">
        <w:rPr>
          <w:rFonts w:ascii="Times New Roman" w:hAnsi="Times New Roman"/>
          <w:sz w:val="24"/>
        </w:rPr>
        <w:t xml:space="preserve"> al fine di incrementare la trasparenza dell’azione dell’Amministrazione, in un’ottica di “servizio al cittadino”, e d</w:t>
      </w:r>
      <w:r w:rsidRPr="00602596">
        <w:rPr>
          <w:rFonts w:ascii="Times New Roman" w:hAnsi="Times New Roman"/>
          <w:sz w:val="24"/>
        </w:rPr>
        <w:t>i contenere la spesa pubblica riducendo gli oneri da contenzioso;</w:t>
      </w:r>
    </w:p>
    <w:p w:rsidR="00676119" w:rsidRPr="00E63330" w:rsidRDefault="0096592E" w:rsidP="00F76345">
      <w:pPr>
        <w:numPr>
          <w:ilvl w:val="0"/>
          <w:numId w:val="39"/>
        </w:numPr>
        <w:spacing w:after="120"/>
        <w:ind w:left="567" w:right="533" w:hanging="141"/>
        <w:jc w:val="both"/>
        <w:rPr>
          <w:rFonts w:ascii="Times New Roman" w:hAnsi="Times New Roman"/>
          <w:sz w:val="24"/>
        </w:rPr>
      </w:pPr>
      <w:r w:rsidRPr="006C5DF3">
        <w:rPr>
          <w:rFonts w:ascii="Times New Roman" w:hAnsi="Times New Roman"/>
          <w:sz w:val="24"/>
        </w:rPr>
        <w:t>costituzione, all’aggiornamento ed alla messa a disposizione nei confronti dell’Organismo di Coordinamento AGEA dei fascicoli aziendali e di tutte le altre informazioni necessarie per il Sis</w:t>
      </w:r>
      <w:r w:rsidRPr="00602596">
        <w:rPr>
          <w:rFonts w:ascii="Times New Roman" w:hAnsi="Times New Roman"/>
          <w:sz w:val="24"/>
        </w:rPr>
        <w:t>tema Integrato di Gestione e Controllo, per la tenuta dei Registri ed Albi di cui l’Organismo di Coordinamento AGEA è responsabile a livello nazionale e per la rendicontazione ai servizi comunitari;</w:t>
      </w:r>
    </w:p>
    <w:p w:rsidR="00676119" w:rsidRPr="00E63330" w:rsidRDefault="0096592E" w:rsidP="00F76345">
      <w:pPr>
        <w:numPr>
          <w:ilvl w:val="0"/>
          <w:numId w:val="39"/>
        </w:numPr>
        <w:spacing w:after="120"/>
        <w:ind w:left="709" w:right="533" w:hanging="283"/>
        <w:jc w:val="both"/>
        <w:rPr>
          <w:rFonts w:ascii="Times New Roman" w:hAnsi="Times New Roman"/>
          <w:sz w:val="24"/>
        </w:rPr>
      </w:pPr>
      <w:r w:rsidRPr="006C5DF3">
        <w:rPr>
          <w:rFonts w:ascii="Times New Roman" w:hAnsi="Times New Roman"/>
          <w:sz w:val="24"/>
        </w:rPr>
        <w:t>messa a disposizione all’Organismo di Coordinamento media</w:t>
      </w:r>
      <w:r w:rsidRPr="00602596">
        <w:rPr>
          <w:rFonts w:ascii="Times New Roman" w:hAnsi="Times New Roman"/>
          <w:sz w:val="24"/>
        </w:rPr>
        <w:t xml:space="preserve">nte i servizi di cooperazione applicativa (attraverso il sistema delle basi dati distribuite già avviate </w:t>
      </w:r>
      <w:r w:rsidRPr="00602596">
        <w:rPr>
          <w:rFonts w:ascii="Times New Roman" w:hAnsi="Times New Roman"/>
          <w:sz w:val="24"/>
        </w:rPr>
        <w:lastRenderedPageBreak/>
        <w:t>per la gestione dei rapporti tra OP) del SIAN, delle informazioni di cui al precedente punto a) relativamente ai dati di propria competenza, così come individuati dalla regolamentazione comunitaria e dal Manuale di coordinamento;</w:t>
      </w:r>
    </w:p>
    <w:p w:rsidR="008762E6" w:rsidRPr="00E63330" w:rsidRDefault="0096592E" w:rsidP="00312C3B">
      <w:pPr>
        <w:numPr>
          <w:ilvl w:val="0"/>
          <w:numId w:val="10"/>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Le attività in convenzione con AG</w:t>
      </w:r>
      <w:r w:rsidRPr="00602596">
        <w:rPr>
          <w:rFonts w:ascii="Times New Roman" w:hAnsi="Times New Roman"/>
          <w:i/>
          <w:sz w:val="24"/>
          <w:u w:val="single"/>
        </w:rPr>
        <w:t>EA – Coordinamento:</w:t>
      </w:r>
    </w:p>
    <w:p w:rsidR="00DB343C" w:rsidRPr="00E63330" w:rsidRDefault="00DB343C" w:rsidP="00DB343C">
      <w:pPr>
        <w:autoSpaceDE w:val="0"/>
        <w:autoSpaceDN w:val="0"/>
        <w:adjustRightInd w:val="0"/>
        <w:spacing w:after="0"/>
        <w:ind w:left="720"/>
        <w:jc w:val="both"/>
        <w:rPr>
          <w:rFonts w:ascii="Times New Roman" w:hAnsi="Times New Roman"/>
          <w:i/>
          <w:sz w:val="24"/>
          <w:u w:val="single"/>
        </w:rPr>
      </w:pPr>
    </w:p>
    <w:p w:rsidR="004152A0" w:rsidRPr="00E63330" w:rsidRDefault="0096592E" w:rsidP="008762E6">
      <w:pPr>
        <w:autoSpaceDE w:val="0"/>
        <w:autoSpaceDN w:val="0"/>
        <w:adjustRightInd w:val="0"/>
        <w:spacing w:after="0"/>
        <w:jc w:val="both"/>
        <w:rPr>
          <w:rFonts w:ascii="Times New Roman" w:hAnsi="Times New Roman"/>
          <w:sz w:val="24"/>
        </w:rPr>
      </w:pPr>
      <w:r w:rsidRPr="006C5DF3">
        <w:rPr>
          <w:rFonts w:ascii="Times New Roman" w:hAnsi="Times New Roman"/>
          <w:sz w:val="24"/>
        </w:rPr>
        <w:t>L’Agenzia, infine, attraverso lo strumento della convenzione/accordo, si avvale inoltre dell’attività</w:t>
      </w:r>
      <w:r w:rsidR="009B7CE6">
        <w:rPr>
          <w:rFonts w:ascii="Times New Roman" w:hAnsi="Times New Roman"/>
          <w:sz w:val="24"/>
        </w:rPr>
        <w:t xml:space="preserve"> </w:t>
      </w:r>
      <w:r w:rsidRPr="006C5DF3">
        <w:rPr>
          <w:rFonts w:ascii="Times New Roman" w:hAnsi="Times New Roman"/>
          <w:sz w:val="24"/>
        </w:rPr>
        <w:t>dell’AGEA - Coordinamento,</w:t>
      </w:r>
      <w:r w:rsidR="009B7CE6">
        <w:rPr>
          <w:rFonts w:ascii="Times New Roman" w:hAnsi="Times New Roman"/>
          <w:sz w:val="24"/>
        </w:rPr>
        <w:t xml:space="preserve"> </w:t>
      </w:r>
      <w:r w:rsidRPr="006C5DF3">
        <w:rPr>
          <w:rFonts w:ascii="Times New Roman" w:hAnsi="Times New Roman"/>
          <w:sz w:val="24"/>
        </w:rPr>
        <w:t>delegando alcune delle attività relative alla funzione di autorizzazione.</w:t>
      </w:r>
    </w:p>
    <w:p w:rsidR="004862E8" w:rsidRPr="00E63330" w:rsidRDefault="004862E8" w:rsidP="00DB343C">
      <w:pPr>
        <w:autoSpaceDE w:val="0"/>
        <w:autoSpaceDN w:val="0"/>
        <w:adjustRightInd w:val="0"/>
        <w:spacing w:after="0"/>
        <w:jc w:val="both"/>
        <w:rPr>
          <w:rFonts w:ascii="Times New Roman" w:hAnsi="Times New Roman"/>
          <w:sz w:val="24"/>
        </w:rPr>
      </w:pPr>
    </w:p>
    <w:p w:rsidR="004862E8" w:rsidRPr="00E63330" w:rsidRDefault="0096592E" w:rsidP="00DB343C">
      <w:pPr>
        <w:autoSpaceDE w:val="0"/>
        <w:autoSpaceDN w:val="0"/>
        <w:adjustRightInd w:val="0"/>
        <w:jc w:val="both"/>
        <w:rPr>
          <w:rFonts w:ascii="Times New Roman" w:hAnsi="Times New Roman"/>
          <w:sz w:val="24"/>
        </w:rPr>
      </w:pPr>
      <w:r w:rsidRPr="006C5DF3">
        <w:rPr>
          <w:rFonts w:ascii="Times New Roman" w:hAnsi="Times New Roman"/>
          <w:sz w:val="24"/>
        </w:rPr>
        <w:t>In particolare, l’AGEA si impegna</w:t>
      </w:r>
      <w:r w:rsidRPr="00602596">
        <w:rPr>
          <w:rFonts w:ascii="Times New Roman" w:hAnsi="Times New Roman"/>
          <w:sz w:val="24"/>
        </w:rPr>
        <w:t xml:space="preserve"> a rendere disponibili a titolo non oneroso all’ARCEA, mediante il SIN, le banche dati ed i servizi del SIAN, al fine di:</w:t>
      </w:r>
    </w:p>
    <w:p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Aggiornare e rendere disponibili all’ARCEA le informazioni ed i servizi necessari al SIGC ed al corretto funzionamento dell’O.P.;</w:t>
      </w:r>
    </w:p>
    <w:p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Rend</w:t>
      </w:r>
      <w:r w:rsidRPr="00602596">
        <w:rPr>
          <w:rFonts w:ascii="Times New Roman" w:hAnsi="Times New Roman"/>
          <w:sz w:val="24"/>
        </w:rPr>
        <w:t>ere disponibile l’infrastruttura di cooperazione e di interscambio che utilizzi le banche dati presenti sul territorio ai fini della gestione e dell’aggiornamento del SIGC;</w:t>
      </w:r>
    </w:p>
    <w:p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Sottoporre le informazioni rese dal Sistema SIAN e relative alla costituzione, aggi</w:t>
      </w:r>
      <w:r w:rsidRPr="00602596">
        <w:rPr>
          <w:rFonts w:ascii="Times New Roman" w:hAnsi="Times New Roman"/>
          <w:sz w:val="24"/>
        </w:rPr>
        <w:t xml:space="preserve">ornamento e tenuta del fascicolo aziendale, nonché alle attività di </w:t>
      </w:r>
      <w:proofErr w:type="spellStart"/>
      <w:r w:rsidRPr="00602596">
        <w:rPr>
          <w:rFonts w:ascii="Times New Roman" w:hAnsi="Times New Roman"/>
          <w:i/>
          <w:sz w:val="24"/>
        </w:rPr>
        <w:t>refresh</w:t>
      </w:r>
      <w:proofErr w:type="spellEnd"/>
      <w:r w:rsidRPr="00602596">
        <w:rPr>
          <w:rFonts w:ascii="Times New Roman" w:hAnsi="Times New Roman"/>
          <w:sz w:val="24"/>
        </w:rPr>
        <w:t>;</w:t>
      </w:r>
    </w:p>
    <w:p w:rsidR="009D4516" w:rsidRPr="00B67442" w:rsidRDefault="0096592E" w:rsidP="00B67442">
      <w:pPr>
        <w:pStyle w:val="Paragrafoelenco"/>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di consistenza dei dati obbligatori del fascicolo aziendale;</w:t>
      </w:r>
    </w:p>
    <w:p w:rsidR="004862E8" w:rsidRPr="00B67442" w:rsidRDefault="0096592E" w:rsidP="00B67442">
      <w:pPr>
        <w:pStyle w:val="Paragrafoelenco"/>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incrociati previsti dal SIGC.</w:t>
      </w:r>
    </w:p>
    <w:p w:rsidR="004C62B6" w:rsidRPr="00E63330" w:rsidRDefault="004C62B6" w:rsidP="00EF0273">
      <w:pPr>
        <w:autoSpaceDE w:val="0"/>
        <w:autoSpaceDN w:val="0"/>
        <w:adjustRightInd w:val="0"/>
        <w:spacing w:after="120"/>
        <w:jc w:val="both"/>
        <w:rPr>
          <w:rFonts w:ascii="Times New Roman" w:hAnsi="Times New Roman"/>
          <w:sz w:val="24"/>
        </w:rPr>
      </w:pPr>
    </w:p>
    <w:p w:rsidR="00FD71B1" w:rsidRPr="00B67442" w:rsidRDefault="0096592E" w:rsidP="00B67442">
      <w:pPr>
        <w:pStyle w:val="Paragrafoelenco"/>
        <w:numPr>
          <w:ilvl w:val="0"/>
          <w:numId w:val="10"/>
        </w:numPr>
        <w:autoSpaceDE w:val="0"/>
        <w:autoSpaceDN w:val="0"/>
        <w:adjustRightInd w:val="0"/>
        <w:spacing w:after="120"/>
        <w:jc w:val="both"/>
        <w:rPr>
          <w:rFonts w:ascii="Times New Roman" w:hAnsi="Times New Roman"/>
          <w:b/>
          <w:sz w:val="24"/>
          <w:u w:val="single"/>
        </w:rPr>
      </w:pPr>
      <w:r w:rsidRPr="00B67442">
        <w:rPr>
          <w:rFonts w:ascii="Times New Roman" w:hAnsi="Times New Roman"/>
          <w:b/>
          <w:sz w:val="24"/>
          <w:u w:val="single"/>
        </w:rPr>
        <w:t>Gli altri soggetti coinvolti nel sistema di erogazione delle risorse in agricoltura:</w:t>
      </w:r>
    </w:p>
    <w:p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Il Ministero dell’Agricoltura, il Ministero del Tesoro ed il Ministero alla Salute ed altre amministrazioni centrali eventualmente interessate;</w:t>
      </w:r>
    </w:p>
    <w:p w:rsidR="00EF0273"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Le Prefetture;</w:t>
      </w:r>
    </w:p>
    <w:p w:rsidR="00EF0273"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La Polizia Giudiziaria;</w:t>
      </w:r>
    </w:p>
    <w:p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 xml:space="preserve">Le Province, i Comuni, le Comunità Montane ed </w:t>
      </w:r>
      <w:r w:rsidRPr="00602596">
        <w:rPr>
          <w:rFonts w:ascii="Times New Roman" w:hAnsi="Times New Roman"/>
          <w:sz w:val="24"/>
        </w:rPr>
        <w:t>altri Enti pubblici;</w:t>
      </w:r>
    </w:p>
    <w:p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Gli altri Organismi Pagatori regionali.</w:t>
      </w:r>
    </w:p>
    <w:p w:rsidR="00C7155C" w:rsidRPr="00E63330" w:rsidRDefault="00C7155C" w:rsidP="00EF0273">
      <w:pPr>
        <w:pStyle w:val="Corpotesto"/>
        <w:spacing w:before="120" w:after="0"/>
        <w:jc w:val="both"/>
        <w:rPr>
          <w:rFonts w:ascii="Times New Roman" w:hAnsi="Times New Roman"/>
          <w:bCs/>
          <w:sz w:val="24"/>
          <w:szCs w:val="24"/>
        </w:rPr>
      </w:pPr>
    </w:p>
    <w:p w:rsidR="00EF0273" w:rsidRPr="00E63330" w:rsidRDefault="0096592E" w:rsidP="00EF0273">
      <w:pPr>
        <w:pStyle w:val="Corpo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rsidR="00E74F2D" w:rsidRPr="00E63330" w:rsidRDefault="001378E6" w:rsidP="00D678FF">
      <w:pPr>
        <w:autoSpaceDE w:val="0"/>
        <w:autoSpaceDN w:val="0"/>
        <w:adjustRightInd w:val="0"/>
        <w:jc w:val="center"/>
        <w:rPr>
          <w:rFonts w:ascii="Times New Roman" w:hAnsi="Times New Roman"/>
          <w:bCs/>
          <w:sz w:val="24"/>
          <w:szCs w:val="24"/>
        </w:rPr>
      </w:pPr>
      <w:r w:rsidRPr="006C5DF3">
        <w:rPr>
          <w:rFonts w:ascii="Times New Roman" w:hAnsi="Times New Roman"/>
          <w:noProof/>
          <w:sz w:val="24"/>
          <w:szCs w:val="24"/>
          <w:lang w:eastAsia="it-IT"/>
        </w:rPr>
        <w:lastRenderedPageBreak/>
        <w:drawing>
          <wp:inline distT="0" distB="0" distL="0" distR="0" wp14:anchorId="7BFB2C3E" wp14:editId="6DDD4B38">
            <wp:extent cx="5633085" cy="3583940"/>
            <wp:effectExtent l="0" t="0" r="5715"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583940"/>
                    </a:xfrm>
                    <a:prstGeom prst="rect">
                      <a:avLst/>
                    </a:prstGeom>
                    <a:noFill/>
                    <a:ln>
                      <a:noFill/>
                    </a:ln>
                  </pic:spPr>
                </pic:pic>
              </a:graphicData>
            </a:graphic>
          </wp:inline>
        </w:drawing>
      </w:r>
    </w:p>
    <w:p w:rsidR="006F1BD3" w:rsidRPr="00B67442" w:rsidRDefault="0096592E" w:rsidP="00B67442">
      <w:pPr>
        <w:pStyle w:val="Paragrafoelenco"/>
        <w:numPr>
          <w:ilvl w:val="0"/>
          <w:numId w:val="82"/>
        </w:numPr>
        <w:autoSpaceDE w:val="0"/>
        <w:autoSpaceDN w:val="0"/>
        <w:adjustRightInd w:val="0"/>
        <w:spacing w:after="120"/>
        <w:ind w:left="851" w:hanging="425"/>
        <w:jc w:val="both"/>
        <w:rPr>
          <w:rFonts w:ascii="Times New Roman" w:hAnsi="Times New Roman"/>
          <w:b/>
          <w:bCs/>
          <w:sz w:val="24"/>
          <w:szCs w:val="24"/>
          <w:u w:val="single"/>
        </w:rPr>
      </w:pPr>
      <w:r w:rsidRPr="00B67442">
        <w:rPr>
          <w:rFonts w:ascii="Times New Roman" w:hAnsi="Times New Roman"/>
          <w:b/>
          <w:bCs/>
          <w:sz w:val="24"/>
          <w:szCs w:val="24"/>
          <w:u w:val="single"/>
        </w:rPr>
        <w:t xml:space="preserve">Coinvolgimento degli </w:t>
      </w:r>
      <w:proofErr w:type="spellStart"/>
      <w:r w:rsidRPr="00B67442">
        <w:rPr>
          <w:rFonts w:ascii="Times New Roman" w:hAnsi="Times New Roman"/>
          <w:b/>
          <w:bCs/>
          <w:sz w:val="24"/>
          <w:szCs w:val="24"/>
          <w:u w:val="single"/>
        </w:rPr>
        <w:t>Stakeholders</w:t>
      </w:r>
      <w:proofErr w:type="spellEnd"/>
      <w:r w:rsidRPr="00B67442">
        <w:rPr>
          <w:rFonts w:ascii="Times New Roman" w:hAnsi="Times New Roman"/>
          <w:b/>
          <w:bCs/>
          <w:sz w:val="24"/>
          <w:szCs w:val="24"/>
          <w:u w:val="single"/>
        </w:rPr>
        <w:t xml:space="preserve"> e condivisione degli obiettivi:</w:t>
      </w:r>
    </w:p>
    <w:p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L’ARCEA ha tenuto conto nella determinazione e nel perseguimento degli obiettivi contenuti nel presente Piano, delle esigenze rappresentate dai portatori di interesse manifestate attraverso incontri, riunioni e interlocuzioni continue, realizzatosi anche mediante gli strumenti di comunicazione esterna.</w:t>
      </w:r>
    </w:p>
    <w:p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 particolare, la raccolta delle diverse esigenze è stata effettuata attraverso molteplici modalità e canali comunicativi di varia natura.</w:t>
      </w:r>
    </w:p>
    <w:p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w:t>
      </w:r>
      <w:proofErr w:type="spellStart"/>
      <w:r>
        <w:rPr>
          <w:rFonts w:ascii="Times New Roman" w:hAnsi="Times New Roman"/>
          <w:bCs/>
          <w:i/>
          <w:sz w:val="24"/>
          <w:szCs w:val="24"/>
        </w:rPr>
        <w:t>stakeholders</w:t>
      </w:r>
      <w:proofErr w:type="spellEnd"/>
      <w:r>
        <w:rPr>
          <w:rFonts w:ascii="Times New Roman" w:hAnsi="Times New Roman"/>
          <w:bCs/>
          <w:sz w:val="24"/>
          <w:szCs w:val="24"/>
        </w:rPr>
        <w:t xml:space="preserve"> dell’ARCEA.</w:t>
      </w:r>
    </w:p>
    <w:p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Inoltre,</w:t>
      </w:r>
      <w:r w:rsidR="009B7CE6">
        <w:rPr>
          <w:rFonts w:ascii="Times New Roman" w:hAnsi="Times New Roman"/>
          <w:bCs/>
          <w:sz w:val="24"/>
          <w:szCs w:val="24"/>
        </w:rPr>
        <w:t xml:space="preserve"> </w:t>
      </w:r>
      <w:r>
        <w:rPr>
          <w:rFonts w:ascii="Times New Roman" w:hAnsi="Times New Roman"/>
          <w:bCs/>
          <w:sz w:val="24"/>
          <w:szCs w:val="24"/>
        </w:rPr>
        <w:t>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Quanto sin qui espresso, si è tradotto nella individuazione, nella definizione e nella pesatura degli obiettivi, sia a livello strategico che operativo.</w:t>
      </w:r>
    </w:p>
    <w:p w:rsidR="00941D1D" w:rsidRPr="00E63330" w:rsidRDefault="00941D1D" w:rsidP="007251DE">
      <w:pPr>
        <w:autoSpaceDE w:val="0"/>
        <w:autoSpaceDN w:val="0"/>
        <w:adjustRightInd w:val="0"/>
        <w:spacing w:after="120"/>
        <w:ind w:left="720"/>
        <w:jc w:val="both"/>
        <w:rPr>
          <w:rFonts w:ascii="Times New Roman" w:hAnsi="Times New Roman"/>
          <w:bCs/>
          <w:sz w:val="24"/>
          <w:szCs w:val="24"/>
        </w:rPr>
      </w:pPr>
    </w:p>
    <w:p w:rsidR="000C75DC" w:rsidRPr="00E63330" w:rsidRDefault="0096592E" w:rsidP="002F58B2">
      <w:pPr>
        <w:pStyle w:val="Titolo1"/>
      </w:pPr>
      <w:bookmarkStart w:id="56" w:name="_Toc1046949"/>
      <w:r w:rsidRPr="003C3367">
        <w:t>Il contesto interno dell’ARCEA:</w:t>
      </w:r>
      <w:bookmarkEnd w:id="56"/>
    </w:p>
    <w:p w:rsidR="006A4F19" w:rsidRPr="00E63330" w:rsidRDefault="006A4F19" w:rsidP="006A4F19">
      <w:pPr>
        <w:pStyle w:val="Elencoacolori-Colore11"/>
        <w:tabs>
          <w:tab w:val="left" w:pos="284"/>
        </w:tabs>
        <w:autoSpaceDE w:val="0"/>
        <w:autoSpaceDN w:val="0"/>
        <w:adjustRightInd w:val="0"/>
        <w:jc w:val="both"/>
        <w:rPr>
          <w:rFonts w:ascii="Times New Roman" w:hAnsi="Times New Roman"/>
          <w:b/>
          <w:bCs/>
          <w:i/>
          <w:sz w:val="24"/>
          <w:szCs w:val="24"/>
          <w:u w:val="single"/>
        </w:rPr>
      </w:pPr>
    </w:p>
    <w:p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Gli organi dell’Agenzia:</w:t>
      </w:r>
    </w:p>
    <w:p w:rsidR="00C71E2F" w:rsidRPr="00E63330" w:rsidRDefault="0096592E" w:rsidP="00942E2C">
      <w:pPr>
        <w:pStyle w:val="Default"/>
        <w:numPr>
          <w:ilvl w:val="0"/>
          <w:numId w:val="33"/>
        </w:numPr>
        <w:spacing w:line="276" w:lineRule="auto"/>
        <w:ind w:left="709" w:hanging="283"/>
        <w:jc w:val="both"/>
      </w:pPr>
      <w:r w:rsidRPr="003C3367">
        <w:rPr>
          <w:bCs/>
          <w:u w:val="single"/>
        </w:rPr>
        <w:lastRenderedPageBreak/>
        <w:t>Il Direttore (art. 10 dello Statuto)</w:t>
      </w:r>
      <w:r w:rsidRPr="003C3367">
        <w:rPr>
          <w:bCs/>
        </w:rPr>
        <w:t xml:space="preserve">: </w:t>
      </w:r>
      <w:r w:rsidRPr="003C3367">
        <w:t>ha la rappresentanza legale dell’Agenzia e sovrintende all’attività amministrativa; adotta gli atti di recepimento degli indirizzi comunitari, nazionali e regionali; approva ed adotta in forma di decreto gli atti necessari all’azione e alla gestione amministrativa; definisce gli obiettivi e ne verifica il conseguimento; approva regolamenti, piani e programmi predisposti dai dirigenti; approva, per le entrate e le spese afferenti il funzionamento, il bilancio di previsione, le relative variazioni, il bilancio di esercizio ed il conto consuntivo; propone alla Giunta Regionale le variazioni della pianta organica che comportino un aumento dello stanziamento complessivo a carico del bilancio regionale; stipula atti, contratti e convenzioni; gradua le funzioni, attribuisce gli incarichi ai dirigenti ed al personale e ne definisce le indennità nel rispetto delle norme contenute nei rispettivi contratti collettivi di lavoro; adotta i provvedimenti di mobilità interna dei dirigenti e del personale; definisce la struttura organizzativa dell’Agenzia ed adotta le innovazioni utili all’ottimizzazione della struttura ed al suo funzionamento, per il migliore conseguimento degli obiettivi.</w:t>
      </w:r>
    </w:p>
    <w:p w:rsidR="00C71E2F" w:rsidRPr="00E63330" w:rsidRDefault="00C71E2F" w:rsidP="00C71E2F">
      <w:pPr>
        <w:pStyle w:val="Default"/>
        <w:ind w:left="720"/>
        <w:jc w:val="both"/>
      </w:pPr>
    </w:p>
    <w:p w:rsidR="00C71E2F" w:rsidRDefault="00590BFC" w:rsidP="00590BFC">
      <w:pPr>
        <w:pStyle w:val="Default"/>
        <w:ind w:left="720"/>
        <w:jc w:val="both"/>
      </w:pPr>
      <w:r>
        <w:t>Con Decreto del Presidente della Regione Calabria n. 119 del 31/10/2018</w:t>
      </w:r>
      <w:r w:rsidR="0096592E" w:rsidRPr="003C3367">
        <w:t xml:space="preserve">, </w:t>
      </w:r>
      <w:r>
        <w:t>l’Ing. Francesco Del Castello è stato nominato Commissario Straordinario dell’ARCEA</w:t>
      </w:r>
      <w:r w:rsidR="0096592E" w:rsidRPr="003C3367">
        <w:t>.</w:t>
      </w:r>
    </w:p>
    <w:p w:rsidR="00545769" w:rsidRDefault="00545769" w:rsidP="00590BFC">
      <w:pPr>
        <w:pStyle w:val="Default"/>
        <w:ind w:left="720"/>
        <w:jc w:val="both"/>
      </w:pPr>
    </w:p>
    <w:p w:rsidR="00545769" w:rsidRPr="00E63330" w:rsidRDefault="00545769" w:rsidP="00590BFC">
      <w:pPr>
        <w:pStyle w:val="Default"/>
        <w:ind w:left="720"/>
        <w:jc w:val="both"/>
      </w:pPr>
    </w:p>
    <w:p w:rsidR="00C71E2F" w:rsidRPr="00E63330" w:rsidRDefault="00C71E2F" w:rsidP="00C71E2F">
      <w:pPr>
        <w:pStyle w:val="Default"/>
        <w:ind w:left="720"/>
        <w:jc w:val="both"/>
        <w:rPr>
          <w:sz w:val="8"/>
        </w:rPr>
      </w:pPr>
    </w:p>
    <w:p w:rsidR="00C71E2F" w:rsidRPr="00E63330" w:rsidRDefault="00C71E2F" w:rsidP="00C71E2F">
      <w:pPr>
        <w:pStyle w:val="Default"/>
        <w:ind w:left="720"/>
        <w:jc w:val="both"/>
      </w:pPr>
    </w:p>
    <w:p w:rsidR="00165588" w:rsidRPr="00E63330" w:rsidRDefault="0096592E" w:rsidP="00942E2C">
      <w:pPr>
        <w:pStyle w:val="Default"/>
        <w:numPr>
          <w:ilvl w:val="0"/>
          <w:numId w:val="33"/>
        </w:numPr>
        <w:spacing w:line="276" w:lineRule="auto"/>
        <w:ind w:left="709" w:hanging="283"/>
        <w:jc w:val="both"/>
      </w:pPr>
      <w:r w:rsidRPr="003C3367">
        <w:rPr>
          <w:u w:val="single"/>
        </w:rPr>
        <w:t>L'Organismo di Revisione (art. 12 dello Statuto)</w:t>
      </w:r>
      <w:r w:rsidRPr="003C3367">
        <w:t xml:space="preserve">: per l’esercizio del controllo sull’Amministrazione dell’Agenzia esamina i bilanci preventivi, le variazioni di bilancio ed i conti consuntivi afferenti le entrate e le spese di funzionamento dell’Ente, esprimendo all’uopo pareri e redigendo apposite relazioni; effettua la verifica, almeno una volta ogni trimestre, della cassa e dei valori dell’Agenzia o da questa ricevuti a qualsiasi titolo. </w:t>
      </w:r>
    </w:p>
    <w:p w:rsidR="004C16DB" w:rsidRPr="00E63330" w:rsidRDefault="0096592E" w:rsidP="00165588">
      <w:pPr>
        <w:pStyle w:val="Default"/>
        <w:spacing w:after="351" w:line="276" w:lineRule="auto"/>
        <w:ind w:left="714"/>
        <w:jc w:val="both"/>
      </w:pPr>
      <w:r w:rsidRPr="003C3367">
        <w:t xml:space="preserve">Successivamente alla scadenza, nel luglio 2015,del Collegio dei Revisori in carica, trova applicazione il novellato art. 12 dello Statuto dell'ARCEA in forza del quale, in ottemperanza alle disposizioni di cui all’art. 13, comma 2 della L. R. n. 69 del 27 dicembre 2012, prevede ora la composizione monocratica dell'Organismo di Revisione. </w:t>
      </w:r>
    </w:p>
    <w:p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rPr>
      </w:pPr>
      <w:r>
        <w:rPr>
          <w:rFonts w:ascii="Times New Roman" w:hAnsi="Times New Roman"/>
          <w:b/>
          <w:color w:val="000000"/>
          <w:sz w:val="23"/>
          <w:szCs w:val="23"/>
          <w:u w:val="single"/>
          <w:lang w:eastAsia="it-IT"/>
        </w:rPr>
        <w:t>La struttura operativa e le sue funzioni</w:t>
      </w:r>
      <w:r>
        <w:rPr>
          <w:rFonts w:ascii="Times New Roman" w:hAnsi="Times New Roman"/>
          <w:b/>
          <w:bCs/>
          <w:sz w:val="24"/>
          <w:szCs w:val="24"/>
        </w:rPr>
        <w:t>:</w:t>
      </w:r>
    </w:p>
    <w:p w:rsidR="00B77DBD" w:rsidRPr="00E63330" w:rsidRDefault="0096592E" w:rsidP="009717AC">
      <w:pPr>
        <w:autoSpaceDE w:val="0"/>
        <w:autoSpaceDN w:val="0"/>
        <w:adjustRightInd w:val="0"/>
        <w:spacing w:after="120"/>
        <w:ind w:left="720"/>
        <w:jc w:val="both"/>
        <w:rPr>
          <w:rFonts w:ascii="Times New Roman" w:hAnsi="Times New Roman"/>
          <w:color w:val="000000"/>
          <w:sz w:val="24"/>
          <w:szCs w:val="24"/>
          <w:lang w:eastAsia="it-IT"/>
        </w:rPr>
      </w:pPr>
      <w:r>
        <w:rPr>
          <w:rFonts w:ascii="Times New Roman" w:hAnsi="Times New Roman"/>
          <w:color w:val="000000"/>
          <w:sz w:val="24"/>
          <w:szCs w:val="24"/>
          <w:lang w:eastAsia="it-IT"/>
        </w:rPr>
        <w:t>La struttura operativa dell’ARCEA</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si ispira ai principi ed ai criteri previsti per gli organismi pagatori dal Reg. (UE) n. 907/2014.</w:t>
      </w:r>
    </w:p>
    <w:p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Il Reg. (CE) 907/2014 individua alcune funzioni e attività di monitoraggio fondamentali che l’ARCEA, in qualità di organismo pagatore, deve prevedere. </w:t>
      </w:r>
    </w:p>
    <w:p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Di seguito si riporta una descrizione delle articolazioni operative di ARCEA, che fornisce una visione sintetica ed esemplificativa delle attività svolte da ogni singolo Ufficio. </w:t>
      </w:r>
    </w:p>
    <w:p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E’ necessario sottolineare che le mansioni sono disciplinate da appositi mansionari, aggiornati con cadenza periodica, sottoscritti da ogni dipendente e verificati annualmente dall’Organismo di Certificazione dei Conti. </w:t>
      </w:r>
    </w:p>
    <w:p w:rsidR="00AF6636" w:rsidRPr="00B67442" w:rsidRDefault="0096592E" w:rsidP="009717AC">
      <w:pPr>
        <w:autoSpaceDE w:val="0"/>
        <w:autoSpaceDN w:val="0"/>
        <w:adjustRightInd w:val="0"/>
        <w:spacing w:after="120"/>
        <w:ind w:left="709"/>
        <w:jc w:val="both"/>
        <w:rPr>
          <w:rFonts w:ascii="Times New Roman" w:hAnsi="Times New Roman"/>
          <w:b/>
          <w:color w:val="000000"/>
          <w:sz w:val="24"/>
          <w:szCs w:val="24"/>
          <w:lang w:eastAsia="it-IT"/>
        </w:rPr>
      </w:pPr>
      <w:r w:rsidRPr="00B67442">
        <w:rPr>
          <w:rFonts w:ascii="Times New Roman" w:hAnsi="Times New Roman"/>
          <w:b/>
          <w:color w:val="000000"/>
          <w:sz w:val="24"/>
          <w:szCs w:val="24"/>
          <w:lang w:eastAsia="it-IT"/>
        </w:rPr>
        <w:t xml:space="preserve">Come anticipato, pertanto, la seguente descrizione è da intendersi illustrativa e potrebbe essere superata da eventuali aggiornamenti dei documenti ufficiali, cui si rimanda. </w:t>
      </w:r>
    </w:p>
    <w:p w:rsidR="00172E67" w:rsidRDefault="00B67442"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1) </w:t>
      </w:r>
      <w:r w:rsidR="0096592E">
        <w:rPr>
          <w:rFonts w:ascii="Times New Roman" w:hAnsi="Times New Roman"/>
          <w:color w:val="000000"/>
          <w:sz w:val="24"/>
          <w:szCs w:val="24"/>
          <w:lang w:eastAsia="it-IT"/>
        </w:rPr>
        <w:t>Struttura Dirigenziale: Direzione</w:t>
      </w:r>
    </w:p>
    <w:p w:rsidR="00545769" w:rsidRDefault="00545769" w:rsidP="00545769">
      <w:pPr>
        <w:pStyle w:val="Elencoacolori-Colore11"/>
        <w:numPr>
          <w:ilvl w:val="0"/>
          <w:numId w:val="33"/>
        </w:numPr>
        <w:spacing w:before="100" w:beforeAutospacing="1" w:after="120"/>
        <w:ind w:left="709" w:hanging="283"/>
        <w:contextualSpacing w:val="0"/>
        <w:jc w:val="both"/>
        <w:rPr>
          <w:rFonts w:ascii="Times New Roman" w:hAnsi="Times New Roman"/>
          <w:b/>
          <w:color w:val="000000"/>
          <w:sz w:val="24"/>
          <w:szCs w:val="24"/>
          <w:lang w:eastAsia="it-IT"/>
        </w:rPr>
      </w:pPr>
      <w:r w:rsidRPr="00545769">
        <w:rPr>
          <w:rFonts w:ascii="Times New Roman" w:hAnsi="Times New Roman"/>
          <w:b/>
          <w:color w:val="000000"/>
          <w:sz w:val="24"/>
          <w:szCs w:val="24"/>
          <w:lang w:eastAsia="it-IT"/>
        </w:rPr>
        <w:lastRenderedPageBreak/>
        <w:t>Ufficio del Direttore Generale/Commissario Straordinario (DG)</w:t>
      </w:r>
    </w:p>
    <w:p w:rsidR="00545769" w:rsidRDefault="00AE576E" w:rsidP="00545769">
      <w:pPr>
        <w:pStyle w:val="Elencoacolori-Colore11"/>
        <w:spacing w:before="100" w:beforeAutospacing="1" w:after="120"/>
        <w:ind w:left="709"/>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Oltre a quanto previsto dal già citato </w:t>
      </w:r>
      <w:r w:rsidR="006434DE" w:rsidRPr="006434DE">
        <w:rPr>
          <w:rFonts w:ascii="Times New Roman" w:eastAsia="Times New Roman" w:hAnsi="Times New Roman"/>
          <w:color w:val="000000"/>
          <w:sz w:val="24"/>
          <w:szCs w:val="24"/>
          <w:lang w:eastAsia="it-IT"/>
        </w:rPr>
        <w:t>art. 10 dello Statuto</w:t>
      </w:r>
      <w:r>
        <w:rPr>
          <w:rFonts w:ascii="Times New Roman" w:eastAsia="Times New Roman" w:hAnsi="Times New Roman"/>
          <w:color w:val="000000"/>
          <w:sz w:val="24"/>
          <w:szCs w:val="24"/>
          <w:lang w:eastAsia="it-IT"/>
        </w:rPr>
        <w:t>,</w:t>
      </w:r>
      <w:r w:rsidR="006434DE">
        <w:rPr>
          <w:rFonts w:ascii="Times New Roman" w:eastAsia="Times New Roman" w:hAnsi="Times New Roman"/>
          <w:color w:val="000000"/>
          <w:sz w:val="24"/>
          <w:szCs w:val="24"/>
          <w:lang w:eastAsia="it-IT"/>
        </w:rPr>
        <w:t xml:space="preserve"> il Direttore dell’</w:t>
      </w:r>
      <w:r w:rsidR="00CB6339">
        <w:rPr>
          <w:rFonts w:ascii="Times New Roman" w:eastAsia="Times New Roman" w:hAnsi="Times New Roman"/>
          <w:color w:val="000000"/>
          <w:sz w:val="24"/>
          <w:szCs w:val="24"/>
          <w:lang w:eastAsia="it-IT"/>
        </w:rPr>
        <w:t>ARCEA svolge anche le funzioni di Dirigent</w:t>
      </w:r>
      <w:r>
        <w:rPr>
          <w:rFonts w:ascii="Times New Roman" w:eastAsia="Times New Roman" w:hAnsi="Times New Roman"/>
          <w:color w:val="000000"/>
          <w:sz w:val="24"/>
          <w:szCs w:val="24"/>
          <w:lang w:eastAsia="it-IT"/>
        </w:rPr>
        <w:t>e</w:t>
      </w:r>
      <w:r w:rsidR="00CB6339">
        <w:rPr>
          <w:rFonts w:ascii="Times New Roman" w:eastAsia="Times New Roman" w:hAnsi="Times New Roman"/>
          <w:color w:val="000000"/>
          <w:sz w:val="24"/>
          <w:szCs w:val="24"/>
          <w:lang w:eastAsia="it-IT"/>
        </w:rPr>
        <w:t xml:space="preserve"> degli Uffici che non afferiscono alle Funzioni proprie dell’Organismo Pagatore e, in casi particolare, può assumere anche l’incarico ad interim di specifiche Funzioni che risultassero temporaneamente vacanti. </w:t>
      </w:r>
    </w:p>
    <w:p w:rsidR="00CB6339" w:rsidRPr="00CB6339" w:rsidRDefault="00CB6339" w:rsidP="00CB6339">
      <w:pPr>
        <w:pStyle w:val="Elencoacolori-Colore11"/>
        <w:spacing w:before="100" w:beforeAutospacing="1" w:after="120"/>
        <w:ind w:left="709"/>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Inoltre, con Decreto </w:t>
      </w:r>
      <w:proofErr w:type="spellStart"/>
      <w:r>
        <w:rPr>
          <w:rFonts w:ascii="Times New Roman" w:eastAsia="Times New Roman" w:hAnsi="Times New Roman"/>
          <w:color w:val="000000"/>
          <w:sz w:val="24"/>
          <w:szCs w:val="24"/>
          <w:lang w:eastAsia="it-IT"/>
        </w:rPr>
        <w:t>num</w:t>
      </w:r>
      <w:proofErr w:type="spellEnd"/>
      <w:r>
        <w:rPr>
          <w:rFonts w:ascii="Times New Roman" w:eastAsia="Times New Roman" w:hAnsi="Times New Roman"/>
          <w:color w:val="000000"/>
          <w:sz w:val="24"/>
          <w:szCs w:val="24"/>
          <w:lang w:eastAsia="it-IT"/>
        </w:rPr>
        <w:t>. 22 del 31 gennaio 201</w:t>
      </w:r>
      <w:r w:rsidR="00AE576E">
        <w:rPr>
          <w:rFonts w:ascii="Times New Roman" w:eastAsia="Times New Roman" w:hAnsi="Times New Roman"/>
          <w:color w:val="000000"/>
          <w:sz w:val="24"/>
          <w:szCs w:val="24"/>
          <w:lang w:eastAsia="it-IT"/>
        </w:rPr>
        <w:t>9</w:t>
      </w:r>
      <w:r>
        <w:rPr>
          <w:rFonts w:ascii="Times New Roman" w:eastAsia="Times New Roman" w:hAnsi="Times New Roman"/>
          <w:color w:val="000000"/>
          <w:sz w:val="24"/>
          <w:szCs w:val="24"/>
          <w:lang w:eastAsia="it-IT"/>
        </w:rPr>
        <w:t xml:space="preserve">, è stato stabilito che </w:t>
      </w:r>
      <w:r w:rsidRPr="00CB6339">
        <w:rPr>
          <w:rFonts w:ascii="Times New Roman" w:eastAsia="Times New Roman" w:hAnsi="Times New Roman"/>
          <w:color w:val="000000"/>
          <w:sz w:val="24"/>
          <w:szCs w:val="24"/>
          <w:lang w:eastAsia="it-IT"/>
        </w:rPr>
        <w:t xml:space="preserve"> il Commissario Straordinario curi direttamente l’attuazione delle seguenti attività relative al servizio tecnico: </w:t>
      </w:r>
    </w:p>
    <w:p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Pianificazione ed esecuzione dei controlli ex post;</w:t>
      </w:r>
    </w:p>
    <w:p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Implementazione della qualità dei controlli;</w:t>
      </w:r>
    </w:p>
    <w:p w:rsidR="00CB6339" w:rsidRDefault="00CB6339" w:rsidP="00CB6339">
      <w:pPr>
        <w:pStyle w:val="Elencoacolori-Colore11"/>
        <w:numPr>
          <w:ilvl w:val="1"/>
          <w:numId w:val="2"/>
        </w:numPr>
        <w:spacing w:before="100" w:beforeAutospacing="1" w:after="120"/>
        <w:contextualSpacing w:val="0"/>
        <w:jc w:val="both"/>
        <w:rPr>
          <w:rFonts w:ascii="Times New Roman" w:eastAsia="Times New Roman" w:hAnsi="Times New Roman"/>
          <w:color w:val="000000"/>
          <w:sz w:val="24"/>
          <w:szCs w:val="24"/>
          <w:lang w:eastAsia="it-IT"/>
        </w:rPr>
      </w:pPr>
      <w:proofErr w:type="spellStart"/>
      <w:r>
        <w:rPr>
          <w:rFonts w:ascii="Times New Roman" w:eastAsia="Times New Roman" w:hAnsi="Times New Roman"/>
          <w:color w:val="000000"/>
          <w:sz w:val="24"/>
          <w:szCs w:val="24"/>
          <w:lang w:eastAsia="it-IT"/>
        </w:rPr>
        <w:t>R</w:t>
      </w:r>
      <w:r w:rsidRPr="00CB6339">
        <w:rPr>
          <w:rFonts w:ascii="Times New Roman" w:eastAsia="Times New Roman" w:hAnsi="Times New Roman"/>
          <w:color w:val="000000"/>
          <w:sz w:val="24"/>
          <w:szCs w:val="24"/>
          <w:lang w:eastAsia="it-IT"/>
        </w:rPr>
        <w:t>iperformance</w:t>
      </w:r>
      <w:proofErr w:type="spellEnd"/>
      <w:r w:rsidRPr="00CB6339">
        <w:rPr>
          <w:rFonts w:ascii="Times New Roman" w:eastAsia="Times New Roman" w:hAnsi="Times New Roman"/>
          <w:color w:val="000000"/>
          <w:sz w:val="24"/>
          <w:szCs w:val="24"/>
          <w:lang w:eastAsia="it-IT"/>
        </w:rPr>
        <w:t xml:space="preserve"> delle domande di pagamento relative al PSR 2017-2013 che non siano state ad oggi ancora oggetto di erogazione.</w:t>
      </w:r>
    </w:p>
    <w:p w:rsidR="001A1D77" w:rsidRPr="00E63330" w:rsidRDefault="0096592E" w:rsidP="00942E2C">
      <w:pPr>
        <w:pStyle w:val="Elencoacolori-Colore11"/>
        <w:numPr>
          <w:ilvl w:val="0"/>
          <w:numId w:val="33"/>
        </w:numPr>
        <w:spacing w:before="100" w:beforeAutospacing="1" w:after="120"/>
        <w:ind w:left="709" w:hanging="283"/>
        <w:contextualSpacing w:val="0"/>
        <w:jc w:val="both"/>
        <w:rPr>
          <w:rFonts w:ascii="Times New Roman" w:eastAsia="Times New Roman" w:hAnsi="Times New Roman"/>
          <w:color w:val="000000"/>
          <w:sz w:val="24"/>
          <w:szCs w:val="24"/>
          <w:lang w:eastAsia="it-IT"/>
        </w:rPr>
      </w:pPr>
      <w:r>
        <w:rPr>
          <w:rFonts w:ascii="Times New Roman" w:hAnsi="Times New Roman"/>
          <w:b/>
          <w:color w:val="000000"/>
          <w:sz w:val="24"/>
          <w:szCs w:val="24"/>
          <w:u w:val="single"/>
          <w:lang w:eastAsia="it-IT"/>
        </w:rPr>
        <w:t>Il servizio di Controllo interno (D1):</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il Direttore nel valutare l’efficacia del Sistema di Controllo Interno dell’ARCEA;</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attraverso l’effettuazione degli audit programmati nel relativo Piano, che le procedure adottate dall’Organismo Pagatore garantiscano il rispetto delle leggi e dei regolamenti comunitari anche attraverso l’analisi e lo studio preventivo delle Convenzioni o Accordi sottoscritti con gli Organismi Delegati;</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Contribuisce all’individuazione delle eventuali aree od opportunità di miglioramento nei processi stessi;</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e collabora con la Direzione nell’elaborazione della Dichiarazione di gestione al fine di dichiarare:</w:t>
      </w:r>
    </w:p>
    <w:p w:rsidR="005D7ABA" w:rsidRPr="00E63330" w:rsidRDefault="0096592E" w:rsidP="00942E2C">
      <w:pPr>
        <w:numPr>
          <w:ilvl w:val="1"/>
          <w:numId w:val="19"/>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 conti dell’O.P. dell’esercizio finanziario di riferimento sono veritieri, completi ed accurati;</w:t>
      </w:r>
    </w:p>
    <w:p w:rsidR="005D7ABA" w:rsidRPr="00E63330" w:rsidRDefault="0096592E" w:rsidP="00942E2C">
      <w:pPr>
        <w:numPr>
          <w:ilvl w:val="1"/>
          <w:numId w:val="19"/>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il sistema di controllo interno dell’OP è adeguato/efficace e che le procedure adottate dall’OP in relazione all’ammissibilità delle domande e, nel caso dello sviluppo rurale, la procedura di assegnazione degli aiuti, sono gestite, verificate e documentate in conformità della normativa comunitaria. La linea direttrice n. 4 sulla dichiarazione di gestione prevede che il Direttore, nella redazione della predetta dichiarazione, tenga conto anche delle risultanze dell’operato del Servizio di Controllo Interno;</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Fornisce il supporto alle attività di Audit e IT Audit espletate da parte della Società di certificazione e degli organismi di controllo dell’Unione Europea e del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w:t>
      </w:r>
      <w:r w:rsidR="0074533F">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valuta i relativi piani di lavoro ed i risultati esposti nelle rispettive relazioni;</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Fornisce analisi, valutazioni, raccomandazioni e consulenze qualificate in materia di controlli interni;</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la conformità delle Circolari e dei manuali operativi adottati dall’Agenzia alle politiche, alle disposizioni, alle leggi ed ai regolamenti comunitari;</w:t>
      </w:r>
    </w:p>
    <w:p w:rsidR="005D7ABA" w:rsidRPr="00E63330" w:rsidRDefault="0096592E" w:rsidP="00942E2C">
      <w:pPr>
        <w:numPr>
          <w:ilvl w:val="3"/>
          <w:numId w:val="19"/>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il piano quinquennale ed il piano annuale di Audit;</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Coordina le iniziative di follow-up rivolte alla correzione delle anomalie di controllo, alla mitigazione dei rischi ed al recepimento delle raccomandazioni formulate in fase di Audit;</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Elabora ed aggiorna il “</w:t>
      </w:r>
      <w:proofErr w:type="spellStart"/>
      <w:r>
        <w:rPr>
          <w:rFonts w:ascii="Times New Roman" w:eastAsia="Times New Roman" w:hAnsi="Times New Roman"/>
          <w:i/>
          <w:color w:val="000000"/>
          <w:sz w:val="24"/>
          <w:szCs w:val="24"/>
          <w:lang w:eastAsia="it-IT"/>
        </w:rPr>
        <w:t>Risk</w:t>
      </w:r>
      <w:proofErr w:type="spellEnd"/>
      <w:r>
        <w:rPr>
          <w:rFonts w:ascii="Times New Roman" w:eastAsia="Times New Roman" w:hAnsi="Times New Roman"/>
          <w:i/>
          <w:color w:val="000000"/>
          <w:sz w:val="24"/>
          <w:szCs w:val="24"/>
          <w:lang w:eastAsia="it-IT"/>
        </w:rPr>
        <w:t xml:space="preserve"> </w:t>
      </w:r>
      <w:proofErr w:type="spellStart"/>
      <w:r>
        <w:rPr>
          <w:rFonts w:ascii="Times New Roman" w:eastAsia="Times New Roman" w:hAnsi="Times New Roman"/>
          <w:i/>
          <w:color w:val="000000"/>
          <w:sz w:val="24"/>
          <w:szCs w:val="24"/>
          <w:lang w:eastAsia="it-IT"/>
        </w:rPr>
        <w:t>Assessment</w:t>
      </w:r>
      <w:proofErr w:type="spellEnd"/>
      <w:r>
        <w:rPr>
          <w:rFonts w:ascii="Times New Roman" w:eastAsia="Times New Roman" w:hAnsi="Times New Roman"/>
          <w:color w:val="000000"/>
          <w:sz w:val="24"/>
          <w:szCs w:val="24"/>
          <w:lang w:eastAsia="it-IT"/>
        </w:rPr>
        <w:t>” sia sui processi interni all’Agenzia che su quelli relativi agli organismi delegati dell’Organismo Pagatore, al fine di valutare l’adeguatezza dei sistemi di controllo interno e di monitoraggio dei rischi, informandone periodicamente la Direzione;</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Attiva e coordina le collaborazioni con soggetti esterni all’ARCEA, per l’affidamento di incarichi mirati di Auditing, qualora siano ritenute necessarie professionalità aggiuntive rispetto a quelle presenti all’interno del Servizio;</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Promuove incontri per sensibilizzare i responsabili di processi e gli Organismi Delegati alla cultura della gestione del rischio e del controllo;</w:t>
      </w:r>
    </w:p>
    <w:p w:rsidR="005D7ABA" w:rsidRPr="00E63330" w:rsidRDefault="0096592E" w:rsidP="00942E2C">
      <w:pPr>
        <w:numPr>
          <w:ilvl w:val="3"/>
          <w:numId w:val="19"/>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Coadiuva l’attività di gestione delle risorse umane e strumentali assegnate al Servizio, assicurando un’idonea formazione ed aggiornamento del personale;</w:t>
      </w:r>
    </w:p>
    <w:p w:rsidR="005D7ABA" w:rsidRPr="00E63330" w:rsidRDefault="0096592E" w:rsidP="00942E2C">
      <w:pPr>
        <w:numPr>
          <w:ilvl w:val="3"/>
          <w:numId w:val="19"/>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eventuali Manuali operativi o guide integrative di propria competenza;</w:t>
      </w:r>
    </w:p>
    <w:p w:rsidR="005F2613" w:rsidRPr="00E63330" w:rsidRDefault="0096592E" w:rsidP="00942E2C">
      <w:pPr>
        <w:numPr>
          <w:ilvl w:val="3"/>
          <w:numId w:val="19"/>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eastAsia="Times New Roman" w:hAnsi="Times New Roman"/>
          <w:color w:val="000000"/>
          <w:sz w:val="24"/>
          <w:szCs w:val="24"/>
          <w:lang w:eastAsia="it-IT"/>
        </w:rPr>
        <w:t>Fornisce indicazioni in merito all’aggiornamento o alla modifica dei Mansionari di propria competenza;</w:t>
      </w:r>
    </w:p>
    <w:p w:rsidR="005F2613" w:rsidRPr="00E63330" w:rsidRDefault="0096592E" w:rsidP="00942E2C">
      <w:pPr>
        <w:numPr>
          <w:ilvl w:val="3"/>
          <w:numId w:val="19"/>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hAnsi="Times New Roman"/>
          <w:sz w:val="24"/>
          <w:szCs w:val="24"/>
        </w:rPr>
        <w:t>Coordina le varie funzioni nella gestione del registro debitori dell’Agenzia e del registro delle garanzie;</w:t>
      </w:r>
    </w:p>
    <w:p w:rsidR="007C3869" w:rsidRPr="00E63330" w:rsidRDefault="0096592E" w:rsidP="00942E2C">
      <w:pPr>
        <w:numPr>
          <w:ilvl w:val="3"/>
          <w:numId w:val="19"/>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hAnsi="Times New Roman"/>
          <w:sz w:val="24"/>
          <w:szCs w:val="24"/>
        </w:rPr>
        <w:t>Gestisce</w:t>
      </w:r>
      <w:r w:rsidR="009B7CE6">
        <w:rPr>
          <w:rFonts w:ascii="Times New Roman" w:hAnsi="Times New Roman"/>
          <w:sz w:val="24"/>
          <w:szCs w:val="24"/>
        </w:rPr>
        <w:t xml:space="preserve"> </w:t>
      </w:r>
      <w:r>
        <w:rPr>
          <w:rFonts w:ascii="Times New Roman" w:hAnsi="Times New Roman"/>
          <w:sz w:val="24"/>
          <w:szCs w:val="24"/>
        </w:rPr>
        <w:t>gli invii delle statistiche comunitarie;</w:t>
      </w:r>
    </w:p>
    <w:p w:rsidR="007C3869" w:rsidRPr="00E63330" w:rsidRDefault="0096592E" w:rsidP="00942E2C">
      <w:pPr>
        <w:numPr>
          <w:ilvl w:val="0"/>
          <w:numId w:val="50"/>
        </w:numPr>
        <w:jc w:val="both"/>
        <w:rPr>
          <w:rFonts w:ascii="Times New Roman" w:hAnsi="Times New Roman"/>
          <w:sz w:val="24"/>
          <w:szCs w:val="24"/>
        </w:rPr>
      </w:pPr>
      <w:r>
        <w:rPr>
          <w:rFonts w:ascii="Times New Roman" w:hAnsi="Times New Roman"/>
          <w:sz w:val="24"/>
          <w:szCs w:val="24"/>
        </w:rPr>
        <w:t>Coordina gli atti conseguenti alle attività di audit (con esclusione di quelli afferenti il riconoscimento delle condizioni di riconoscimento dell’Organismo Pagatore) da parte della DG AGRI – J e della Corte dei conti Europea sino all’invio delle</w:t>
      </w:r>
      <w:r w:rsidR="009B7CE6">
        <w:rPr>
          <w:rFonts w:ascii="Times New Roman" w:hAnsi="Times New Roman"/>
          <w:sz w:val="24"/>
          <w:szCs w:val="24"/>
        </w:rPr>
        <w:t xml:space="preserve"> </w:t>
      </w:r>
      <w:r>
        <w:rPr>
          <w:rFonts w:ascii="Times New Roman" w:hAnsi="Times New Roman"/>
          <w:sz w:val="24"/>
          <w:szCs w:val="24"/>
        </w:rPr>
        <w:t>pertinenti controdeduzioni.</w:t>
      </w:r>
    </w:p>
    <w:p w:rsidR="007C3869" w:rsidRPr="00E63330" w:rsidRDefault="007C3869" w:rsidP="00155746">
      <w:pPr>
        <w:spacing w:before="100" w:beforeAutospacing="1" w:after="120"/>
        <w:ind w:left="709"/>
        <w:jc w:val="both"/>
        <w:rPr>
          <w:rFonts w:ascii="Times New Roman" w:hAnsi="Times New Roman"/>
          <w:color w:val="000000"/>
          <w:sz w:val="2"/>
          <w:szCs w:val="24"/>
          <w:highlight w:val="yellow"/>
          <w:lang w:eastAsia="it-IT"/>
        </w:rPr>
      </w:pPr>
    </w:p>
    <w:p w:rsidR="001A1D77" w:rsidRPr="00E63330" w:rsidRDefault="0096592E" w:rsidP="00942E2C">
      <w:pPr>
        <w:pStyle w:val="Elencoacolori-Colore11"/>
        <w:numPr>
          <w:ilvl w:val="0"/>
          <w:numId w:val="33"/>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bCs/>
          <w:sz w:val="24"/>
          <w:szCs w:val="24"/>
          <w:u w:val="single"/>
        </w:rPr>
        <w:t>L’Ufficio “Affari Generali” (D2)</w:t>
      </w:r>
      <w:r>
        <w:rPr>
          <w:rFonts w:ascii="Times New Roman" w:hAnsi="Times New Roman"/>
          <w:bCs/>
          <w:sz w:val="24"/>
          <w:szCs w:val="24"/>
        </w:rPr>
        <w:t>,</w:t>
      </w:r>
    </w:p>
    <w:p w:rsidR="0001340A" w:rsidRPr="00E63330" w:rsidRDefault="0096592E" w:rsidP="0001340A">
      <w:pPr>
        <w:pStyle w:val="Nessunaspaziatura1"/>
        <w:spacing w:after="120" w:line="276" w:lineRule="auto"/>
        <w:ind w:left="709"/>
        <w:jc w:val="both"/>
        <w:rPr>
          <w:rFonts w:ascii="Times New Roman" w:hAnsi="Times New Roman"/>
          <w:i/>
          <w:sz w:val="24"/>
          <w:szCs w:val="24"/>
          <w:u w:val="single"/>
        </w:rPr>
      </w:pPr>
      <w:r>
        <w:rPr>
          <w:rFonts w:ascii="Times New Roman" w:hAnsi="Times New Roman"/>
          <w:i/>
          <w:sz w:val="24"/>
          <w:szCs w:val="24"/>
          <w:u w:val="single"/>
        </w:rPr>
        <w:t>Affari amministrativi e Contabili</w:t>
      </w:r>
    </w:p>
    <w:p w:rsidR="0001340A" w:rsidRPr="00E63330" w:rsidRDefault="0096592E" w:rsidP="00942E2C">
      <w:pPr>
        <w:pStyle w:val="Nessunaspaziatura1"/>
        <w:numPr>
          <w:ilvl w:val="0"/>
          <w:numId w:val="23"/>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 reperimento di beni e servizi attraverso la predisposizione di tutti gli adempimenti richiesti dalla legge;</w:t>
      </w:r>
    </w:p>
    <w:p w:rsidR="0001340A" w:rsidRPr="00E63330" w:rsidRDefault="0096592E" w:rsidP="00942E2C">
      <w:pPr>
        <w:pStyle w:val="Nessunaspaziatura1"/>
        <w:numPr>
          <w:ilvl w:val="0"/>
          <w:numId w:val="23"/>
        </w:numPr>
        <w:spacing w:after="120" w:line="276" w:lineRule="auto"/>
        <w:ind w:left="709" w:hanging="425"/>
        <w:jc w:val="both"/>
        <w:rPr>
          <w:rFonts w:ascii="Times New Roman" w:hAnsi="Times New Roman"/>
          <w:sz w:val="24"/>
          <w:szCs w:val="24"/>
        </w:rPr>
      </w:pPr>
      <w:r>
        <w:rPr>
          <w:rFonts w:ascii="Times New Roman" w:hAnsi="Times New Roman"/>
          <w:sz w:val="24"/>
          <w:szCs w:val="24"/>
        </w:rPr>
        <w:t xml:space="preserve">Provvede alla gestione amministrativa dei contratti di fornitura di beni e servizi; </w:t>
      </w:r>
    </w:p>
    <w:p w:rsidR="0001340A" w:rsidRPr="00E63330" w:rsidRDefault="0096592E" w:rsidP="00942E2C">
      <w:pPr>
        <w:pStyle w:val="Nessunaspaziatura1"/>
        <w:numPr>
          <w:ilvl w:val="0"/>
          <w:numId w:val="23"/>
        </w:numPr>
        <w:spacing w:after="120" w:line="276" w:lineRule="auto"/>
        <w:ind w:left="709" w:hanging="425"/>
        <w:jc w:val="both"/>
        <w:rPr>
          <w:rFonts w:ascii="Times New Roman" w:hAnsi="Times New Roman"/>
          <w:sz w:val="24"/>
          <w:szCs w:val="24"/>
        </w:rPr>
      </w:pPr>
      <w:r>
        <w:rPr>
          <w:rFonts w:ascii="Times New Roman" w:hAnsi="Times New Roman"/>
          <w:sz w:val="24"/>
          <w:szCs w:val="24"/>
        </w:rPr>
        <w:t>Predispone gli atti amministrativi riguardanti il funzionamento dell’ARCEA;</w:t>
      </w:r>
    </w:p>
    <w:p w:rsidR="0001340A" w:rsidRPr="00E63330" w:rsidRDefault="0001340A" w:rsidP="0001340A">
      <w:pPr>
        <w:pStyle w:val="Nessunaspaziatura1"/>
        <w:spacing w:line="276" w:lineRule="auto"/>
        <w:jc w:val="both"/>
        <w:rPr>
          <w:rFonts w:ascii="Times New Roman" w:hAnsi="Times New Roman"/>
          <w:sz w:val="8"/>
          <w:szCs w:val="24"/>
        </w:rPr>
      </w:pPr>
    </w:p>
    <w:p w:rsidR="0001340A" w:rsidRPr="00E63330" w:rsidRDefault="0096592E" w:rsidP="00942E2C">
      <w:pPr>
        <w:pStyle w:val="Nessunaspaziatura1"/>
        <w:numPr>
          <w:ilvl w:val="0"/>
          <w:numId w:val="23"/>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alla predisposizione degli atti di affidamento di incarichi, collaborazione e consulenze;</w:t>
      </w:r>
    </w:p>
    <w:p w:rsidR="0001340A" w:rsidRPr="00E63330" w:rsidRDefault="0096592E" w:rsidP="00942E2C">
      <w:pPr>
        <w:pStyle w:val="Nessunaspaziatura1"/>
        <w:numPr>
          <w:ilvl w:val="0"/>
          <w:numId w:val="23"/>
        </w:numPr>
        <w:spacing w:line="276" w:lineRule="auto"/>
        <w:ind w:left="720" w:hanging="425"/>
        <w:jc w:val="both"/>
        <w:rPr>
          <w:rFonts w:ascii="Times New Roman" w:hAnsi="Times New Roman"/>
          <w:sz w:val="20"/>
          <w:szCs w:val="24"/>
        </w:rPr>
      </w:pPr>
      <w:r>
        <w:rPr>
          <w:rFonts w:ascii="Times New Roman" w:hAnsi="Times New Roman"/>
          <w:sz w:val="24"/>
          <w:szCs w:val="24"/>
        </w:rPr>
        <w:lastRenderedPageBreak/>
        <w:t>Redige atti e convenzioni, anche in collaborazione con altri Uffici dell’Agenzia;</w:t>
      </w:r>
    </w:p>
    <w:p w:rsidR="0001340A" w:rsidRPr="00E63330" w:rsidRDefault="0001340A" w:rsidP="0001340A">
      <w:pPr>
        <w:pStyle w:val="Nessunaspaziatura1"/>
        <w:spacing w:line="276" w:lineRule="auto"/>
        <w:ind w:left="720"/>
        <w:jc w:val="both"/>
        <w:rPr>
          <w:rFonts w:ascii="Times New Roman" w:hAnsi="Times New Roman"/>
          <w:sz w:val="20"/>
          <w:szCs w:val="24"/>
        </w:rPr>
      </w:pPr>
    </w:p>
    <w:p w:rsidR="0001340A" w:rsidRPr="00E63330" w:rsidRDefault="0096592E" w:rsidP="00942E2C">
      <w:pPr>
        <w:pStyle w:val="Elencoacolori-Colore11"/>
        <w:numPr>
          <w:ilvl w:val="0"/>
          <w:numId w:val="22"/>
        </w:numPr>
        <w:spacing w:after="120"/>
        <w:ind w:left="709" w:hanging="425"/>
        <w:contextualSpacing w:val="0"/>
        <w:jc w:val="both"/>
        <w:rPr>
          <w:rFonts w:ascii="Times New Roman" w:hAnsi="Times New Roman"/>
          <w:sz w:val="24"/>
          <w:szCs w:val="24"/>
        </w:rPr>
      </w:pPr>
      <w:r>
        <w:rPr>
          <w:rFonts w:ascii="Times New Roman" w:hAnsi="Times New Roman"/>
          <w:sz w:val="24"/>
          <w:szCs w:val="24"/>
        </w:rPr>
        <w:t>Provvede alla gestione dei rapporti amministrativi riguardo alla sede dell’ARCEA ed assolvimento di adempimenti amministrativi connessi alla sicurezza dei luoghi di lavoro;</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eventuali atti amministrativi a supporto delle Funzioni Comunitarie;</w:t>
      </w:r>
    </w:p>
    <w:p w:rsidR="0001340A" w:rsidRPr="00E63330" w:rsidRDefault="0096592E" w:rsidP="00942E2C">
      <w:pPr>
        <w:numPr>
          <w:ilvl w:val="0"/>
          <w:numId w:val="20"/>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tenuta del registro dei repertori e dei contratti e gli adempimenti di legge ad essa conseguenti;</w:t>
      </w:r>
    </w:p>
    <w:p w:rsidR="004C16DB" w:rsidRPr="00E63330" w:rsidRDefault="0096592E" w:rsidP="00942E2C">
      <w:pPr>
        <w:numPr>
          <w:ilvl w:val="0"/>
          <w:numId w:val="21"/>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Provvede alla predisposizione dei documenti economico-contabili di competenza dell’ARCEA (bilanci di previsione, assestamenti, </w:t>
      </w:r>
      <w:proofErr w:type="spellStart"/>
      <w:r>
        <w:rPr>
          <w:rFonts w:ascii="Times New Roman" w:eastAsia="Times New Roman" w:hAnsi="Times New Roman"/>
          <w:color w:val="000000"/>
          <w:sz w:val="24"/>
          <w:szCs w:val="24"/>
          <w:lang w:eastAsia="it-IT"/>
        </w:rPr>
        <w:t>riaccertamento</w:t>
      </w:r>
      <w:proofErr w:type="spellEnd"/>
      <w:r>
        <w:rPr>
          <w:rFonts w:ascii="Times New Roman" w:eastAsia="Times New Roman" w:hAnsi="Times New Roman"/>
          <w:color w:val="000000"/>
          <w:sz w:val="24"/>
          <w:szCs w:val="24"/>
          <w:lang w:eastAsia="it-IT"/>
        </w:rPr>
        <w:t xml:space="preserve"> residui, variazioni di bilancio, rendiconti generali);</w:t>
      </w:r>
    </w:p>
    <w:p w:rsidR="004C16DB" w:rsidRPr="00E63330" w:rsidRDefault="004C16DB" w:rsidP="004C16DB">
      <w:pPr>
        <w:spacing w:after="120"/>
        <w:jc w:val="both"/>
        <w:rPr>
          <w:rFonts w:ascii="Times New Roman" w:eastAsia="Times New Roman" w:hAnsi="Times New Roman"/>
          <w:color w:val="000000"/>
          <w:sz w:val="4"/>
          <w:szCs w:val="24"/>
          <w:lang w:eastAsia="it-IT"/>
        </w:rPr>
      </w:pPr>
    </w:p>
    <w:p w:rsidR="004C16DB" w:rsidRPr="00E63330" w:rsidRDefault="0096592E" w:rsidP="00942E2C">
      <w:pPr>
        <w:numPr>
          <w:ilvl w:val="0"/>
          <w:numId w:val="21"/>
        </w:numPr>
        <w:tabs>
          <w:tab w:val="clear" w:pos="1014"/>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gestione delle spese e delle entrate del bilancio di funzionamento;</w:t>
      </w:r>
    </w:p>
    <w:p w:rsidR="004C16DB" w:rsidRPr="00E63330" w:rsidRDefault="004C16DB" w:rsidP="004C16DB">
      <w:pPr>
        <w:spacing w:after="120"/>
        <w:ind w:left="-66"/>
        <w:jc w:val="both"/>
        <w:rPr>
          <w:rFonts w:ascii="Times New Roman" w:eastAsia="Times New Roman" w:hAnsi="Times New Roman"/>
          <w:color w:val="000000"/>
          <w:sz w:val="6"/>
          <w:szCs w:val="24"/>
          <w:lang w:eastAsia="it-IT"/>
        </w:rPr>
      </w:pPr>
    </w:p>
    <w:p w:rsidR="004C16DB" w:rsidRPr="00E63330" w:rsidRDefault="0096592E" w:rsidP="00942E2C">
      <w:pPr>
        <w:numPr>
          <w:ilvl w:val="0"/>
          <w:numId w:val="21"/>
        </w:numPr>
        <w:tabs>
          <w:tab w:val="clear" w:pos="1014"/>
          <w:tab w:val="num" w:pos="709"/>
        </w:tabs>
        <w:spacing w:after="12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puntuale liquidazione delle fatture;</w:t>
      </w:r>
    </w:p>
    <w:p w:rsidR="004C16DB" w:rsidRPr="003C3367" w:rsidRDefault="004C16DB" w:rsidP="004C16DB">
      <w:pPr>
        <w:spacing w:after="120"/>
        <w:jc w:val="both"/>
        <w:rPr>
          <w:rFonts w:ascii="Times New Roman" w:hAnsi="Times New Roman"/>
          <w:sz w:val="8"/>
        </w:rPr>
      </w:pPr>
    </w:p>
    <w:p w:rsidR="004C16DB" w:rsidRPr="00E63330" w:rsidRDefault="0096592E" w:rsidP="00942E2C">
      <w:pPr>
        <w:numPr>
          <w:ilvl w:val="0"/>
          <w:numId w:val="21"/>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all’apposizione sugli atti amministrativi del visto di regolarità contabile secondo la vigente normativa in materia e del visto di copertura finanziaria,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mediante verifica della correttezza dell’imputazione della spesa e dell’entrata e della disponibilità negli stanziamenti di competenza e cassa del bilancio;</w:t>
      </w:r>
    </w:p>
    <w:p w:rsidR="004C16DB" w:rsidRPr="003C3367" w:rsidRDefault="004C16DB" w:rsidP="004C16DB">
      <w:pPr>
        <w:spacing w:after="120"/>
        <w:jc w:val="both"/>
        <w:rPr>
          <w:rFonts w:ascii="Times New Roman" w:hAnsi="Times New Roman"/>
          <w:sz w:val="2"/>
        </w:rPr>
      </w:pPr>
    </w:p>
    <w:p w:rsidR="004C16DB" w:rsidRPr="00E63330" w:rsidRDefault="0096592E" w:rsidP="00942E2C">
      <w:pPr>
        <w:numPr>
          <w:ilvl w:val="0"/>
          <w:numId w:val="21"/>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software contabile, aggiornandolo sulla base di quanto disposto dagli atti amministrativi;</w:t>
      </w:r>
    </w:p>
    <w:p w:rsidR="004C16DB" w:rsidRPr="00E63330" w:rsidRDefault="0096592E" w:rsidP="00942E2C">
      <w:pPr>
        <w:numPr>
          <w:ilvl w:val="0"/>
          <w:numId w:val="21"/>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Effettua le verifiche contabili di competenza dell’Ufficio, richieste dalla legge,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nonché sulle elaborazioni relative agli emolumenti del personale 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predispone gli ordinativi di entrata e di spesa da inoltrarsi al Tesoriere per via telematica;</w:t>
      </w:r>
    </w:p>
    <w:p w:rsidR="004C16DB" w:rsidRPr="00E63330" w:rsidRDefault="004C16DB" w:rsidP="004C16DB">
      <w:pPr>
        <w:spacing w:after="0"/>
        <w:ind w:left="1014"/>
        <w:jc w:val="both"/>
        <w:rPr>
          <w:rFonts w:ascii="Times New Roman" w:eastAsia="Times New Roman" w:hAnsi="Times New Roman"/>
          <w:color w:val="000000"/>
          <w:sz w:val="18"/>
          <w:szCs w:val="24"/>
          <w:lang w:eastAsia="it-IT"/>
        </w:rPr>
      </w:pPr>
    </w:p>
    <w:p w:rsidR="004C16DB" w:rsidRPr="00E63330" w:rsidRDefault="0096592E" w:rsidP="00942E2C">
      <w:pPr>
        <w:numPr>
          <w:ilvl w:val="0"/>
          <w:numId w:val="21"/>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Assolve gli adempimenti di legge aventi natura fiscale e/o contributiva; </w:t>
      </w:r>
    </w:p>
    <w:p w:rsidR="004C16DB" w:rsidRPr="00E63330" w:rsidRDefault="004C16DB" w:rsidP="004C16DB">
      <w:pPr>
        <w:jc w:val="both"/>
        <w:rPr>
          <w:rFonts w:ascii="Times New Roman" w:eastAsia="Times New Roman" w:hAnsi="Times New Roman"/>
          <w:color w:val="000000"/>
          <w:sz w:val="8"/>
          <w:szCs w:val="24"/>
          <w:lang w:eastAsia="it-IT"/>
        </w:rPr>
      </w:pPr>
    </w:p>
    <w:p w:rsidR="004C16DB" w:rsidRPr="00E63330" w:rsidRDefault="0096592E" w:rsidP="00942E2C">
      <w:pPr>
        <w:numPr>
          <w:ilvl w:val="0"/>
          <w:numId w:val="21"/>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rapporti con l’Istituto Tesoriere e con il Collegio dei Revisori;</w:t>
      </w:r>
    </w:p>
    <w:p w:rsidR="004C16DB" w:rsidRPr="00E63330" w:rsidRDefault="004C16DB" w:rsidP="004C16DB">
      <w:pPr>
        <w:jc w:val="both"/>
        <w:rPr>
          <w:rFonts w:ascii="Times New Roman" w:eastAsia="Times New Roman" w:hAnsi="Times New Roman"/>
          <w:color w:val="000000"/>
          <w:sz w:val="12"/>
          <w:szCs w:val="24"/>
          <w:lang w:eastAsia="it-IT"/>
        </w:rPr>
      </w:pPr>
    </w:p>
    <w:p w:rsidR="004C16DB" w:rsidRPr="00E63330" w:rsidRDefault="0096592E" w:rsidP="00942E2C">
      <w:pPr>
        <w:numPr>
          <w:ilvl w:val="0"/>
          <w:numId w:val="21"/>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la Direzione per la redazione di comunicazioni e relazioni da trasmettere al</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 xml:space="preserve">Dipartimento Bilancio; </w:t>
      </w:r>
    </w:p>
    <w:p w:rsidR="004C16DB" w:rsidRPr="00E63330" w:rsidRDefault="004C16DB" w:rsidP="004C16DB">
      <w:pPr>
        <w:jc w:val="both"/>
        <w:rPr>
          <w:rFonts w:ascii="Times New Roman" w:eastAsia="Times New Roman" w:hAnsi="Times New Roman"/>
          <w:color w:val="000000"/>
          <w:sz w:val="6"/>
          <w:szCs w:val="24"/>
          <w:lang w:eastAsia="it-IT"/>
        </w:rPr>
      </w:pPr>
    </w:p>
    <w:p w:rsidR="004C16DB" w:rsidRPr="00E63330" w:rsidRDefault="0096592E" w:rsidP="00942E2C">
      <w:pPr>
        <w:numPr>
          <w:ilvl w:val="0"/>
          <w:numId w:val="21"/>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l’Economato:</w:t>
      </w:r>
    </w:p>
    <w:p w:rsidR="004C16DB" w:rsidRPr="00E63330" w:rsidRDefault="004C16DB" w:rsidP="004C16DB">
      <w:pPr>
        <w:pStyle w:val="Elencoacolori-Colore11"/>
        <w:spacing w:after="120"/>
        <w:contextualSpacing w:val="0"/>
        <w:rPr>
          <w:rFonts w:ascii="Times New Roman" w:eastAsia="Times New Roman" w:hAnsi="Times New Roman"/>
          <w:color w:val="000000"/>
          <w:sz w:val="2"/>
          <w:szCs w:val="24"/>
          <w:lang w:eastAsia="it-IT"/>
        </w:rPr>
      </w:pP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della cassa economale verificandone la compatibilità con le disponibilità di bilancio e predisposizione delle relative rendicontazioni periodiche ai fini del reintegro del fondo economale; </w:t>
      </w: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reperimento di beni in economia anche mediante consultazione del mercato elettronico; </w:t>
      </w: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gestione del magazzino di cancelleria;</w:t>
      </w: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delle carte di credito aziendali; </w:t>
      </w: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 xml:space="preserve">predisposizione ed aggiornamento dell’inventario dei beni mobili e predisposizione del conto del patrimonio; </w:t>
      </w:r>
    </w:p>
    <w:p w:rsidR="004C16DB" w:rsidRPr="00E63330" w:rsidRDefault="0096592E" w:rsidP="00942E2C">
      <w:pPr>
        <w:numPr>
          <w:ilvl w:val="0"/>
          <w:numId w:val="24"/>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dei rapporti con l’Istituto Tesoriere e con il Collegio dei Revisori per quanto di competenza.</w:t>
      </w:r>
    </w:p>
    <w:p w:rsidR="004C16DB"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4C16DB"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4C16DB" w:rsidRPr="00E63330" w:rsidRDefault="004C16DB" w:rsidP="004C16DB">
      <w:pPr>
        <w:spacing w:after="120"/>
        <w:ind w:left="720"/>
        <w:jc w:val="both"/>
        <w:rPr>
          <w:rFonts w:ascii="Times New Roman" w:eastAsia="Times New Roman" w:hAnsi="Times New Roman"/>
          <w:i/>
          <w:color w:val="000000"/>
          <w:sz w:val="10"/>
          <w:szCs w:val="24"/>
          <w:u w:val="single"/>
          <w:lang w:eastAsia="it-IT"/>
        </w:rPr>
      </w:pPr>
    </w:p>
    <w:p w:rsidR="004C16DB" w:rsidRPr="00E63330" w:rsidRDefault="0096592E" w:rsidP="004C16DB">
      <w:pPr>
        <w:spacing w:after="120"/>
        <w:ind w:left="720"/>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Protocollo</w:t>
      </w:r>
    </w:p>
    <w:p w:rsidR="0001340A" w:rsidRPr="00E63330" w:rsidRDefault="0096592E" w:rsidP="00942E2C">
      <w:pPr>
        <w:numPr>
          <w:ilvl w:val="0"/>
          <w:numId w:val="20"/>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sistema di Protocollo esterno ed interno dell’ARCEA;</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Pr="00E63330" w:rsidRDefault="0001340A" w:rsidP="0001340A">
      <w:pPr>
        <w:spacing w:after="120"/>
        <w:ind w:left="-66"/>
        <w:jc w:val="both"/>
        <w:rPr>
          <w:rFonts w:ascii="Times New Roman" w:eastAsia="Times New Roman" w:hAnsi="Times New Roman"/>
          <w:color w:val="000000"/>
          <w:sz w:val="8"/>
          <w:szCs w:val="24"/>
          <w:lang w:eastAsia="it-IT"/>
        </w:rPr>
      </w:pPr>
    </w:p>
    <w:p w:rsidR="0001340A" w:rsidRPr="00E63330" w:rsidRDefault="0096592E" w:rsidP="0001340A">
      <w:pPr>
        <w:tabs>
          <w:tab w:val="left" w:pos="709"/>
        </w:tabs>
        <w:spacing w:after="120"/>
        <w:ind w:left="709"/>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Personale</w:t>
      </w:r>
    </w:p>
    <w:p w:rsidR="0001340A" w:rsidRPr="00E63330" w:rsidRDefault="0096592E" w:rsidP="00942E2C">
      <w:pPr>
        <w:numPr>
          <w:ilvl w:val="0"/>
          <w:numId w:val="18"/>
        </w:numPr>
        <w:tabs>
          <w:tab w:val="left"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gli aspetti giuridico-amministrativi ed economico-contributivi del Personale dell’ARCEA;</w:t>
      </w:r>
    </w:p>
    <w:p w:rsidR="0001340A" w:rsidRPr="00E63330" w:rsidRDefault="0096592E" w:rsidP="00942E2C">
      <w:pPr>
        <w:numPr>
          <w:ilvl w:val="0"/>
          <w:numId w:val="18"/>
        </w:numPr>
        <w:tabs>
          <w:tab w:val="left" w:pos="709"/>
        </w:tabs>
        <w:spacing w:after="120"/>
        <w:ind w:left="714" w:hanging="430"/>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Gestisce le procedure di reclutamento del personale;</w:t>
      </w:r>
    </w:p>
    <w:p w:rsidR="0001340A" w:rsidRPr="00E63330" w:rsidRDefault="0096592E" w:rsidP="00942E2C">
      <w:pPr>
        <w:numPr>
          <w:ilvl w:val="0"/>
          <w:numId w:val="18"/>
        </w:numPr>
        <w:tabs>
          <w:tab w:val="left" w:pos="709"/>
        </w:tabs>
        <w:spacing w:after="120"/>
        <w:ind w:left="709" w:hanging="425"/>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il “Conto annuale” e degli altri adempimenti richiesti dalla legge in materia di gestione del personale;</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Assolve gli adempimenti di legge in materia di anticorruzione, valutazione, merito e trasparenza delle pubbliche amministrazioni;</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la tenuta dei Mansionari di Ufficio e dei singoli dipendenti; </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6151A4" w:rsidRPr="00E63330" w:rsidRDefault="006151A4" w:rsidP="006151A4">
      <w:pPr>
        <w:tabs>
          <w:tab w:val="left" w:pos="709"/>
        </w:tabs>
        <w:spacing w:after="120"/>
        <w:ind w:left="714"/>
        <w:jc w:val="both"/>
        <w:rPr>
          <w:rFonts w:ascii="Times New Roman" w:eastAsia="Times New Roman" w:hAnsi="Times New Roman"/>
          <w:iCs/>
          <w:color w:val="000000"/>
          <w:sz w:val="24"/>
          <w:szCs w:val="24"/>
          <w:lang w:eastAsia="it-IT"/>
        </w:rPr>
      </w:pPr>
    </w:p>
    <w:p w:rsidR="0006386C" w:rsidRPr="003C3367" w:rsidRDefault="0096592E" w:rsidP="003C3367">
      <w:pPr>
        <w:pStyle w:val="Elencoacolori-Colore11"/>
        <w:numPr>
          <w:ilvl w:val="0"/>
          <w:numId w:val="24"/>
        </w:numPr>
        <w:autoSpaceDE w:val="0"/>
        <w:autoSpaceDN w:val="0"/>
        <w:adjustRightInd w:val="0"/>
        <w:spacing w:after="120"/>
        <w:ind w:left="851" w:hanging="567"/>
        <w:jc w:val="both"/>
        <w:rPr>
          <w:rFonts w:ascii="Times New Roman" w:hAnsi="Times New Roman"/>
          <w:b/>
          <w:bCs/>
          <w:sz w:val="24"/>
          <w:szCs w:val="24"/>
          <w:u w:val="single"/>
        </w:rPr>
      </w:pPr>
      <w:r w:rsidRPr="003C3367">
        <w:rPr>
          <w:rFonts w:ascii="Times New Roman" w:hAnsi="Times New Roman"/>
          <w:b/>
          <w:bCs/>
          <w:sz w:val="24"/>
          <w:szCs w:val="24"/>
          <w:u w:val="single"/>
        </w:rPr>
        <w:t>L’Ufficio Monitoraggio e Comunicazione</w:t>
      </w:r>
      <w:r w:rsidR="00D12431">
        <w:rPr>
          <w:rFonts w:ascii="Times New Roman" w:hAnsi="Times New Roman"/>
          <w:b/>
          <w:bCs/>
          <w:sz w:val="24"/>
          <w:szCs w:val="24"/>
          <w:u w:val="single"/>
        </w:rPr>
        <w:t xml:space="preserve"> (D3)</w:t>
      </w:r>
      <w:r w:rsidRPr="003C3367">
        <w:rPr>
          <w:rFonts w:ascii="Times New Roman" w:hAnsi="Times New Roman"/>
          <w:b/>
          <w:bCs/>
          <w:sz w:val="24"/>
          <w:szCs w:val="24"/>
          <w:u w:val="single"/>
        </w:rPr>
        <w:t>:</w:t>
      </w:r>
    </w:p>
    <w:p w:rsidR="0001340A" w:rsidRPr="00E63330" w:rsidRDefault="0096592E" w:rsidP="00942E2C">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Definisce una “Pista di Controllo” sufficientemente dettagliata delle attività svolte dall’ARCEA;</w:t>
      </w:r>
    </w:p>
    <w:p w:rsidR="0001340A" w:rsidRPr="00E63330" w:rsidRDefault="0096592E" w:rsidP="00942E2C">
      <w:pPr>
        <w:numPr>
          <w:ilvl w:val="0"/>
          <w:numId w:val="20"/>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diffusione della comunicazione istituzionale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 Organismo di Coordinamento) alle strutture interne;</w:t>
      </w:r>
    </w:p>
    <w:p w:rsidR="0001340A" w:rsidRPr="00E63330" w:rsidRDefault="0096592E" w:rsidP="00942E2C">
      <w:pPr>
        <w:numPr>
          <w:ilvl w:val="0"/>
          <w:numId w:val="20"/>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gli aspetti relativi alla comunicazione dell’Agenzia, all’aggiornamento delle informazioni sul Sito istituzionale dell’Agenzia, al coordinamento delle iniziative di informazione e formazione;</w:t>
      </w:r>
    </w:p>
    <w:p w:rsidR="0001340A" w:rsidRPr="00E63330" w:rsidRDefault="0096592E" w:rsidP="00942E2C">
      <w:pPr>
        <w:numPr>
          <w:ilvl w:val="0"/>
          <w:numId w:val="20"/>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Predispone e diffonde il monitoraggio normativo, rilevandone il conseguente grado di soddisfazione all’interno degli Uffici dell’Agenzia;</w:t>
      </w:r>
    </w:p>
    <w:p w:rsidR="0001340A" w:rsidRPr="00E63330" w:rsidRDefault="0096592E" w:rsidP="00942E2C">
      <w:pPr>
        <w:pStyle w:val="Elencoacolori-Colore11"/>
        <w:numPr>
          <w:ilvl w:val="0"/>
          <w:numId w:val="27"/>
        </w:numPr>
        <w:spacing w:before="100" w:beforeAutospacing="1" w:after="100" w:afterAutospacing="1" w:line="36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Rileva il fabbisogno formativo;</w:t>
      </w:r>
    </w:p>
    <w:p w:rsidR="0028440C" w:rsidRPr="00E63330" w:rsidRDefault="0096592E" w:rsidP="00942E2C">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report (sintetici o analitici), anche a contenuto statistico, che consentano una verifica costante dell’andamento dei processi lavorativi dell’ARCEA, con particolare riguardo al loro stato di avanzamento</w:t>
      </w:r>
      <w:r>
        <w:rPr>
          <w:rFonts w:ascii="Times New Roman" w:eastAsia="Times New Roman" w:hAnsi="Times New Roman"/>
          <w:i/>
          <w:iCs/>
          <w:color w:val="000000"/>
          <w:sz w:val="24"/>
          <w:szCs w:val="24"/>
          <w:lang w:eastAsia="it-IT"/>
        </w:rPr>
        <w:t>;</w:t>
      </w:r>
    </w:p>
    <w:p w:rsidR="0001340A" w:rsidRPr="00E63330" w:rsidRDefault="0096592E" w:rsidP="00942E2C">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il sito internet istituzionale dell’Agenzia;</w:t>
      </w:r>
    </w:p>
    <w:p w:rsidR="0001340A" w:rsidRPr="00E63330" w:rsidRDefault="0096592E" w:rsidP="00942E2C">
      <w:pPr>
        <w:numPr>
          <w:ilvl w:val="0"/>
          <w:numId w:val="18"/>
        </w:numPr>
        <w:tabs>
          <w:tab w:val="left" w:pos="426"/>
        </w:tabs>
        <w:spacing w:after="120"/>
        <w:ind w:left="426" w:firstLine="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28440C" w:rsidRPr="00E63330" w:rsidRDefault="0096592E" w:rsidP="0028440C">
      <w:pPr>
        <w:numPr>
          <w:ilvl w:val="0"/>
          <w:numId w:val="18"/>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gli adempimenti e le procedure connesse alle attività che sono proprie del controllo strategico così come previsto dal D.Lgs.n.286/1999, precisamente dall’articolo 6, che mirano a verificare, l’effettiva attuazione delle “scelte” operate nelle fasi </w:t>
      </w:r>
      <w:proofErr w:type="spellStart"/>
      <w:r>
        <w:rPr>
          <w:rFonts w:ascii="Times New Roman" w:eastAsia="Times New Roman" w:hAnsi="Times New Roman"/>
          <w:iCs/>
          <w:color w:val="000000"/>
          <w:sz w:val="24"/>
          <w:szCs w:val="24"/>
          <w:lang w:eastAsia="it-IT"/>
        </w:rPr>
        <w:t>pianificatorie</w:t>
      </w:r>
      <w:proofErr w:type="spellEnd"/>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da parte degli “organi politici”, analizzando, preventivamente e successivamente, la congruenza e gli eventuali scostamenti tra le missioni affidate dalle norme, gli obiettivi prefissati, le attività effettuate e le risorse assegnate a tal fine, anche identificando gli ostacoli all’attuazione, le responsabilità per gli inadempimenti e i rimedi possibili. (Tale compiti sono,</w:t>
      </w:r>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inoltre, previsti dal D.lgs. n. 150 del 2009).</w:t>
      </w:r>
    </w:p>
    <w:p w:rsidR="0028440C" w:rsidRPr="00E63330" w:rsidRDefault="0096592E" w:rsidP="0028440C">
      <w:pPr>
        <w:numPr>
          <w:ilvl w:val="0"/>
          <w:numId w:val="18"/>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Monitoraggio e verifica degli adempimenti previsti dai Piani sulla trasparenza, anticorruzione e Performance adottati da questa Agenzia. </w:t>
      </w:r>
    </w:p>
    <w:p w:rsidR="0001340A" w:rsidRPr="00E63330" w:rsidRDefault="0096592E" w:rsidP="00942E2C">
      <w:pPr>
        <w:pStyle w:val="Elencoacolori-Colore11"/>
        <w:numPr>
          <w:ilvl w:val="0"/>
          <w:numId w:val="33"/>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color w:val="000000"/>
          <w:sz w:val="24"/>
          <w:szCs w:val="24"/>
          <w:u w:val="single"/>
          <w:lang w:eastAsia="it-IT"/>
        </w:rPr>
        <w:t>Il Servizio Informativo (D4):</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 gestione della sicurezza delle informazioni;</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Adegua il Sistema Informativo dell’ARCEA agli Standard Internazionali di sicurezza, secondo quanto previsto dal Reg. (CE) n. 907/14;</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le attività di Audit delle Autorità comunitarie e nazionali competenti, nonché dell’Organismo di Certificazione;</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Pianifica ed attua procedure di salvataggio dei dati e predispone piani atti a garantire la continuità operativa (“</w:t>
      </w:r>
      <w:r>
        <w:rPr>
          <w:rFonts w:ascii="Times New Roman" w:eastAsia="Times New Roman" w:hAnsi="Times New Roman"/>
          <w:i/>
          <w:color w:val="000000"/>
          <w:sz w:val="24"/>
          <w:szCs w:val="24"/>
          <w:lang w:eastAsia="it-IT"/>
        </w:rPr>
        <w:t xml:space="preserve">Business </w:t>
      </w:r>
      <w:proofErr w:type="spellStart"/>
      <w:r>
        <w:rPr>
          <w:rFonts w:ascii="Times New Roman" w:eastAsia="Times New Roman" w:hAnsi="Times New Roman"/>
          <w:i/>
          <w:color w:val="000000"/>
          <w:sz w:val="24"/>
          <w:szCs w:val="24"/>
          <w:lang w:eastAsia="it-IT"/>
        </w:rPr>
        <w:t>Continuity</w:t>
      </w:r>
      <w:proofErr w:type="spellEnd"/>
      <w:r>
        <w:rPr>
          <w:rFonts w:ascii="Times New Roman" w:eastAsia="Times New Roman" w:hAnsi="Times New Roman"/>
          <w:i/>
          <w:color w:val="000000"/>
          <w:sz w:val="24"/>
          <w:szCs w:val="24"/>
          <w:lang w:eastAsia="it-IT"/>
        </w:rPr>
        <w:t xml:space="preserve"> Plan</w:t>
      </w:r>
      <w:r>
        <w:rPr>
          <w:rFonts w:ascii="Times New Roman" w:eastAsia="Times New Roman" w:hAnsi="Times New Roman"/>
          <w:color w:val="000000"/>
          <w:sz w:val="24"/>
          <w:szCs w:val="24"/>
          <w:lang w:eastAsia="it-IT"/>
        </w:rPr>
        <w:t>”) ed un tempestivo ripristino in caso di danni ("</w:t>
      </w:r>
      <w:r>
        <w:rPr>
          <w:rFonts w:ascii="Times New Roman" w:eastAsia="Times New Roman" w:hAnsi="Times New Roman"/>
          <w:i/>
          <w:color w:val="000000"/>
          <w:sz w:val="24"/>
          <w:szCs w:val="24"/>
          <w:lang w:eastAsia="it-IT"/>
        </w:rPr>
        <w:t>Disaster Recovery</w:t>
      </w:r>
      <w:r>
        <w:rPr>
          <w:rFonts w:ascii="Times New Roman" w:eastAsia="Times New Roman" w:hAnsi="Times New Roman"/>
          <w:color w:val="000000"/>
          <w:sz w:val="24"/>
          <w:szCs w:val="24"/>
          <w:lang w:eastAsia="it-IT"/>
        </w:rPr>
        <w:t>"), gestendo il relativo sito;</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Svolge attività di interfaccia tecnica con SIN per la gestione delle utenze SIAN e delle altre funzionalità presente sul portale;</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Sovraintende</w:t>
      </w:r>
      <w:r>
        <w:rPr>
          <w:rFonts w:ascii="Times New Roman" w:eastAsia="+mn-ea" w:hAnsi="Times New Roman"/>
          <w:color w:val="000000"/>
          <w:kern w:val="24"/>
          <w:sz w:val="28"/>
          <w:szCs w:val="28"/>
          <w:lang w:eastAsia="it-IT"/>
        </w:rPr>
        <w:t xml:space="preserve"> </w:t>
      </w:r>
      <w:r w:rsidRPr="00E12332">
        <w:rPr>
          <w:rFonts w:ascii="Times New Roman" w:eastAsia="+mn-ea" w:hAnsi="Times New Roman"/>
          <w:color w:val="000000"/>
          <w:kern w:val="24"/>
          <w:sz w:val="24"/>
          <w:szCs w:val="24"/>
          <w:lang w:eastAsia="it-IT"/>
        </w:rPr>
        <w:t>alla</w:t>
      </w:r>
      <w:r>
        <w:rPr>
          <w:rFonts w:ascii="Times New Roman" w:eastAsia="+mn-ea" w:hAnsi="Times New Roman"/>
          <w:color w:val="000000"/>
          <w:kern w:val="24"/>
          <w:sz w:val="28"/>
          <w:szCs w:val="28"/>
          <w:lang w:eastAsia="it-IT"/>
        </w:rPr>
        <w:t xml:space="preserve"> </w:t>
      </w:r>
      <w:r>
        <w:rPr>
          <w:rFonts w:ascii="Times New Roman" w:eastAsia="Times New Roman" w:hAnsi="Times New Roman"/>
          <w:color w:val="000000"/>
          <w:sz w:val="24"/>
          <w:szCs w:val="24"/>
          <w:lang w:eastAsia="it-IT"/>
        </w:rPr>
        <w:t>gestione e la verifica del corretto funzionamento dei sistemi informativi dell'Agenzia;</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Coopera alla programmazione, allo sviluppo e al monitoraggio degli interventi hardware e software sui sistemi dell’ARCEA;</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Attua, gestisce e aggiorna i sistemi informatici dell’Agenzia; </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Predispone piani finalizzati a garantire la sicurezza logica e fisica dei dati contenuti negli archivi informatici; </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la rete ed i server dell'Agenzia e promuove l'informatizzazione delle procedure interne; </w:t>
      </w:r>
    </w:p>
    <w:p w:rsidR="0001340A" w:rsidRPr="00E63330" w:rsidRDefault="0096592E" w:rsidP="00942E2C">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Ha la responsabilità della sicurezza dei software di sistema e di quelli applicativi;</w:t>
      </w:r>
    </w:p>
    <w:p w:rsidR="0001340A" w:rsidRDefault="0096592E" w:rsidP="00942E2C">
      <w:pPr>
        <w:numPr>
          <w:ilvl w:val="0"/>
          <w:numId w:val="25"/>
        </w:numPr>
        <w:tabs>
          <w:tab w:val="left" w:pos="426"/>
        </w:tabs>
        <w:spacing w:after="12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A64AC7" w:rsidRPr="00E63330" w:rsidRDefault="00A64AC7" w:rsidP="00A64AC7">
      <w:pPr>
        <w:tabs>
          <w:tab w:val="left" w:pos="426"/>
        </w:tabs>
        <w:spacing w:after="120"/>
        <w:ind w:left="720"/>
        <w:jc w:val="both"/>
        <w:rPr>
          <w:rFonts w:ascii="Times New Roman" w:eastAsia="Times New Roman" w:hAnsi="Times New Roman"/>
          <w:iCs/>
          <w:color w:val="000000"/>
          <w:sz w:val="24"/>
          <w:szCs w:val="24"/>
          <w:lang w:eastAsia="it-IT"/>
        </w:rPr>
      </w:pPr>
    </w:p>
    <w:p w:rsidR="00D12431" w:rsidRPr="003C3367" w:rsidRDefault="00D12431" w:rsidP="00D12431">
      <w:pPr>
        <w:pStyle w:val="Elencoacolori-Colore11"/>
        <w:numPr>
          <w:ilvl w:val="0"/>
          <w:numId w:val="33"/>
        </w:numPr>
        <w:autoSpaceDE w:val="0"/>
        <w:autoSpaceDN w:val="0"/>
        <w:adjustRightInd w:val="0"/>
        <w:spacing w:after="120"/>
        <w:ind w:left="709" w:hanging="283"/>
        <w:jc w:val="both"/>
        <w:rPr>
          <w:rFonts w:ascii="Times New Roman" w:hAnsi="Times New Roman"/>
          <w:color w:val="000000"/>
          <w:sz w:val="24"/>
          <w:szCs w:val="24"/>
          <w:lang w:eastAsia="it-IT"/>
        </w:rPr>
      </w:pPr>
      <w:r>
        <w:rPr>
          <w:rFonts w:ascii="Times New Roman" w:hAnsi="Times New Roman"/>
          <w:b/>
          <w:bCs/>
          <w:sz w:val="24"/>
          <w:szCs w:val="24"/>
          <w:u w:val="single"/>
        </w:rPr>
        <w:t>L’Ufficio Segreteria di Direzione (D5)</w:t>
      </w:r>
    </w:p>
    <w:p w:rsidR="00D12431" w:rsidRPr="00E63330" w:rsidRDefault="00D12431" w:rsidP="00D12431">
      <w:pPr>
        <w:spacing w:before="24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La Segreteria di Direzione esercita il suo ruolo per il buon funzionamento di tutta la struttura organizzativa dell’Agenzia, con particolare riferimento alle attività di seguito indicate:</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Coordina le attività della Struttura soprattutto nella gestione dei flussi documentali di interesse;</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Supporta il Direttore nella redazione degli atti di sua competenza, nonché nella gestione delle missioni di rilevanza istituzionale;</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Redige note, pareri e comunicazioni di competenza della Struttura e su indicazione del Direttore;</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Gestisce il flusso informativo verso altre funzioni</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dell’Ente o verso l’esterno, diffonde procedure, regolamentazioni e prassi aziendali.</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Cura i rapporti esterni con i soggetti terzi, supportando il Direttore nelle attività relazionali;</w:t>
      </w:r>
    </w:p>
    <w:p w:rsidR="00D12431" w:rsidRPr="003C3367" w:rsidRDefault="00D12431" w:rsidP="003C3367">
      <w:pPr>
        <w:pStyle w:val="Paragrafoelenco"/>
        <w:numPr>
          <w:ilvl w:val="0"/>
          <w:numId w:val="57"/>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Organizza e gestisce l’Agenda degli adempimenti e degli incontri, coadiuvandolo, ove necessario, in ogni relativa fase;</w:t>
      </w:r>
    </w:p>
    <w:p w:rsidR="00F01068" w:rsidRPr="00E63330" w:rsidRDefault="00F01068" w:rsidP="009717AC">
      <w:pPr>
        <w:autoSpaceDE w:val="0"/>
        <w:autoSpaceDN w:val="0"/>
        <w:adjustRightInd w:val="0"/>
        <w:spacing w:after="120"/>
        <w:ind w:left="709"/>
        <w:jc w:val="both"/>
        <w:rPr>
          <w:rFonts w:ascii="Times New Roman" w:hAnsi="Times New Roman"/>
          <w:color w:val="000000"/>
          <w:sz w:val="24"/>
          <w:szCs w:val="24"/>
          <w:lang w:eastAsia="it-IT"/>
        </w:rPr>
      </w:pPr>
    </w:p>
    <w:p w:rsidR="00172E67" w:rsidRPr="00E63330" w:rsidRDefault="00172E67" w:rsidP="006356F6">
      <w:pPr>
        <w:pStyle w:val="Elencoacolori-Colore11"/>
        <w:autoSpaceDE w:val="0"/>
        <w:autoSpaceDN w:val="0"/>
        <w:adjustRightInd w:val="0"/>
        <w:spacing w:after="0" w:line="240" w:lineRule="auto"/>
        <w:jc w:val="both"/>
        <w:rPr>
          <w:rFonts w:ascii="Times New Roman" w:hAnsi="Times New Roman"/>
          <w:color w:val="000000"/>
          <w:sz w:val="24"/>
          <w:szCs w:val="24"/>
          <w:lang w:eastAsia="it-IT"/>
        </w:rPr>
      </w:pPr>
    </w:p>
    <w:p w:rsidR="006356F6" w:rsidRPr="00E63330" w:rsidRDefault="00B67442"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2) </w:t>
      </w:r>
      <w:r w:rsidR="0096592E">
        <w:rPr>
          <w:rFonts w:ascii="Times New Roman" w:hAnsi="Times New Roman"/>
          <w:b/>
          <w:color w:val="000000"/>
          <w:sz w:val="24"/>
          <w:szCs w:val="24"/>
          <w:u w:val="single"/>
          <w:lang w:eastAsia="it-IT"/>
        </w:rPr>
        <w:t xml:space="preserve">Struttura Dirigenziale Funzione Autorizzazione Pagamenti </w:t>
      </w:r>
    </w:p>
    <w:p w:rsidR="00172E67" w:rsidRPr="00E63330" w:rsidRDefault="00172E67"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rsidR="009F6413" w:rsidRPr="00E63330" w:rsidRDefault="0096592E" w:rsidP="00155746">
      <w:pPr>
        <w:pStyle w:val="Elencoacolori-Colore11"/>
        <w:autoSpaceDE w:val="0"/>
        <w:autoSpaceDN w:val="0"/>
        <w:adjustRightInd w:val="0"/>
        <w:spacing w:after="0" w:line="240" w:lineRule="auto"/>
        <w:ind w:left="709"/>
        <w:jc w:val="both"/>
        <w:rPr>
          <w:rFonts w:ascii="Times New Roman" w:hAnsi="Times New Roman"/>
          <w:color w:val="000000"/>
          <w:sz w:val="24"/>
          <w:szCs w:val="24"/>
          <w:lang w:eastAsia="it-IT"/>
        </w:rPr>
      </w:pPr>
      <w:r>
        <w:rPr>
          <w:rFonts w:ascii="Times New Roman" w:hAnsi="Times New Roman"/>
          <w:b/>
          <w:color w:val="000000"/>
          <w:sz w:val="24"/>
          <w:szCs w:val="24"/>
          <w:u w:val="single"/>
          <w:lang w:eastAsia="it-IT"/>
        </w:rPr>
        <w:t>Uffici: Funzioni di Supporto (A1), Coordinamento dei Pagamenti Fondo FEAGA (A2),</w:t>
      </w:r>
      <w:r w:rsidR="00A64AC7">
        <w:rPr>
          <w:rFonts w:ascii="Times New Roman" w:hAnsi="Times New Roman"/>
          <w:b/>
          <w:color w:val="000000"/>
          <w:sz w:val="24"/>
          <w:szCs w:val="24"/>
          <w:u w:val="single"/>
          <w:lang w:eastAsia="it-IT"/>
        </w:rPr>
        <w:t xml:space="preserve"> </w:t>
      </w:r>
      <w:r>
        <w:rPr>
          <w:rFonts w:ascii="Times New Roman" w:hAnsi="Times New Roman"/>
          <w:b/>
          <w:color w:val="000000"/>
          <w:sz w:val="24"/>
          <w:szCs w:val="24"/>
          <w:u w:val="single"/>
          <w:lang w:eastAsia="it-IT"/>
        </w:rPr>
        <w:t>Sviluppo Rurale (A3)</w:t>
      </w:r>
    </w:p>
    <w:p w:rsidR="009F6413" w:rsidRPr="00E63330" w:rsidRDefault="009F6413" w:rsidP="0015574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Gli Uffici della Funzione Autorizzazione Pagamenti “A2” - “Coordinamento dei Pagamenti Fondo FEAGA” ed “A3”–“Sviluppo Rurale” sono fortemente specializzati nella Gestione dei Fondi FEAGA e FEASR, mentre l’Ufficio “A1” – “Funzioni di Supporto”</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fornisce supporto amministrativo e logistico ai primi due. </w:t>
      </w:r>
    </w:p>
    <w:p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Le mansioni della Funzione sono esplicitate in maniera unitaria in quanto la fase autorizzativa connessa ai pagamenti dei fondi FEAGA e FEASR si riconnette alla medesima Regolamentazione Europea, naturalmente declinata in base a peculiarità gestite dai diversi uffici. </w:t>
      </w:r>
    </w:p>
    <w:p w:rsidR="003A3B3B" w:rsidRPr="00E63330" w:rsidRDefault="003A3B3B" w:rsidP="003A3B3B">
      <w:pPr>
        <w:autoSpaceDE w:val="0"/>
        <w:autoSpaceDN w:val="0"/>
        <w:adjustRightInd w:val="0"/>
        <w:spacing w:after="0" w:line="240" w:lineRule="auto"/>
        <w:ind w:left="720"/>
        <w:jc w:val="both"/>
        <w:rPr>
          <w:rFonts w:ascii="Times New Roman" w:hAnsi="Times New Roman"/>
          <w:b/>
          <w:color w:val="000000"/>
          <w:sz w:val="8"/>
          <w:szCs w:val="24"/>
          <w:u w:val="single"/>
          <w:lang w:eastAsia="it-IT"/>
        </w:rPr>
      </w:pP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la regolarità amministrativa, sia dal punto di vista tecnico che formale, dei pagamenti a valere sui fondi FEAGA e FEASR.</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Assicura che l'importo da pagare in materia di premi, aiuti e contributi, sia corretto, lecito e destinato ad un beneficiario riconosciuto e che sia conforme alle disposizioni della normativa comunitaria, nazionale e regionale; </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Cura i rapporti con gli Enti e i soggetti delegati, per le attività di istruttoria tecnico-amministrativa; </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Assicura la regolarità tecnica ed amministrativa delle istruttorie delle domande di finanziamento,</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che l’operatività degli organismi delegati sia corretta, completa, conforme alle convenzioni stipulate e funzionale a garantire l’integrità del processo di accertamento della sussistenza dei diritti del beneficiario.</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Approva i pagamenti (FEAGA-FEASR) in conformità alla normativa nazionale, comunitaria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e regionale;</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l’adozione di un corretto processo di istruttoria delle domande, verifica la loro ammissibilità e la sussistenza dei diritti al beneficio ed autorizza i pagamenti; nel caso in cui l’istruttoria sia delegata ad altri enti, esercita una efficace azione di controllo su di essi;</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Fornisce indirizzi operativi agli organismi delegati, coordina e monitora la loro attività, accerta il mantenimento dei requisiti;</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il sistema dei controlli amministrativi funzionali all’eleggibilità della spesa, emettendo le relative istruzioni; </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Garantisce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D45071" w:rsidRPr="00E63330" w:rsidRDefault="0096592E" w:rsidP="00942E2C">
      <w:pPr>
        <w:pStyle w:val="Elencoacolori-Colore11"/>
        <w:numPr>
          <w:ilvl w:val="0"/>
          <w:numId w:val="28"/>
        </w:numPr>
        <w:spacing w:before="100" w:beforeAutospacing="1" w:after="120"/>
        <w:contextualSpacing w:val="0"/>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gli elementi tecnici che giustificano i pagamenti di premi, indennità e contributi ai richiedenti;</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Definisce le specifiche tecniche ed i relativi manuali operativi, per la gestione dell’istruttoria delle domande, assicurando la loro conformità alla normativa comunitaria, statale e regionale;</w:t>
      </w:r>
    </w:p>
    <w:p w:rsidR="00D45071" w:rsidRPr="00E63330" w:rsidRDefault="0096592E" w:rsidP="00942E2C">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Interagisce con l’Ufficio Contenzioso Comunitario e le Funzioni di Esecuzione e Contabilizzazione dei Pagamenti all’interno del Comitato per la Gestione dei Debiti, collaborando con il Direttore al</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funzionamento ed alla pianificazione delle attività del medesimo;</w:t>
      </w:r>
    </w:p>
    <w:p w:rsidR="00D45071"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D45071"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AF6636" w:rsidRPr="00E63330"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All’interno della Funzione Autorizzazione è istituito</w:t>
      </w:r>
      <w:r w:rsidRPr="003C3367">
        <w:rPr>
          <w:rFonts w:ascii="Times New Roman" w:eastAsia="Times New Roman" w:hAnsi="Times New Roman"/>
          <w:color w:val="000000"/>
          <w:sz w:val="24"/>
          <w:szCs w:val="24"/>
          <w:lang w:eastAsia="it-IT"/>
        </w:rPr>
        <w:t xml:space="preserve"> l’Ufficio “Condizionalità/VCM PSR 2014-2020” che sovraintende a:</w:t>
      </w:r>
    </w:p>
    <w:p w:rsidR="00F40D38" w:rsidRPr="00E63330" w:rsidRDefault="0096592E" w:rsidP="00F40D38">
      <w:pPr>
        <w:numPr>
          <w:ilvl w:val="0"/>
          <w:numId w:val="28"/>
        </w:numPr>
        <w:spacing w:after="120"/>
        <w:jc w:val="both"/>
        <w:rPr>
          <w:rFonts w:ascii="Times New Roman" w:hAnsi="Times New Roman"/>
          <w:sz w:val="23"/>
          <w:szCs w:val="23"/>
        </w:rPr>
      </w:pPr>
      <w:r w:rsidRPr="003C3367">
        <w:rPr>
          <w:rFonts w:ascii="Times New Roman" w:hAnsi="Times New Roman"/>
          <w:sz w:val="23"/>
          <w:szCs w:val="23"/>
        </w:rPr>
        <w:t>controlli sulle aziende beneficiarie dei contributi in agricoltura, con particolare riferimento a quelli di condizionalità e a quelli finalizzati alla verifica degli impegni sulle Misure “a superficie” del PSR, previsti dai Regolamenti Comunitari di riferimento;</w:t>
      </w:r>
    </w:p>
    <w:p w:rsidR="00F40D38" w:rsidRPr="00E63330" w:rsidRDefault="0096592E" w:rsidP="00F40D38">
      <w:pPr>
        <w:numPr>
          <w:ilvl w:val="0"/>
          <w:numId w:val="28"/>
        </w:numPr>
        <w:spacing w:after="120"/>
        <w:jc w:val="both"/>
        <w:rPr>
          <w:rFonts w:ascii="Times New Roman" w:hAnsi="Times New Roman"/>
          <w:sz w:val="23"/>
          <w:szCs w:val="23"/>
        </w:rPr>
      </w:pPr>
      <w:r w:rsidRPr="003C3367">
        <w:rPr>
          <w:rFonts w:ascii="Times New Roman" w:hAnsi="Times New Roman"/>
          <w:sz w:val="23"/>
          <w:szCs w:val="23"/>
        </w:rPr>
        <w:lastRenderedPageBreak/>
        <w:t>attività di supporto nella gestione dei procedimenti amministrativi derivanti dall’applicazione del ciclo triennale di aggiornamento dell’uso del suolo (ciclo “</w:t>
      </w:r>
      <w:proofErr w:type="spellStart"/>
      <w:r w:rsidRPr="003C3367">
        <w:rPr>
          <w:rFonts w:ascii="Times New Roman" w:hAnsi="Times New Roman"/>
          <w:i/>
          <w:sz w:val="23"/>
          <w:szCs w:val="23"/>
        </w:rPr>
        <w:t>refresh</w:t>
      </w:r>
      <w:proofErr w:type="spellEnd"/>
      <w:r w:rsidRPr="003C3367">
        <w:rPr>
          <w:rFonts w:ascii="Times New Roman" w:hAnsi="Times New Roman"/>
          <w:sz w:val="23"/>
          <w:szCs w:val="23"/>
        </w:rPr>
        <w:t xml:space="preserve">”); </w:t>
      </w:r>
    </w:p>
    <w:p w:rsidR="00F40D38" w:rsidRPr="00E63330" w:rsidRDefault="0096592E" w:rsidP="00F40D38">
      <w:pPr>
        <w:numPr>
          <w:ilvl w:val="0"/>
          <w:numId w:val="28"/>
        </w:numPr>
        <w:spacing w:after="120"/>
        <w:jc w:val="both"/>
        <w:rPr>
          <w:rFonts w:ascii="Times New Roman" w:hAnsi="Times New Roman"/>
          <w:sz w:val="23"/>
          <w:szCs w:val="23"/>
        </w:rPr>
      </w:pPr>
      <w:r w:rsidRPr="003C3367">
        <w:rPr>
          <w:rFonts w:ascii="Times New Roman" w:hAnsi="Times New Roman"/>
          <w:sz w:val="23"/>
          <w:szCs w:val="23"/>
        </w:rPr>
        <w:t xml:space="preserve">valutazione </w:t>
      </w:r>
      <w:r w:rsidRPr="003C3367">
        <w:rPr>
          <w:rFonts w:ascii="Times New Roman" w:hAnsi="Times New Roman"/>
          <w:i/>
          <w:sz w:val="23"/>
          <w:szCs w:val="23"/>
        </w:rPr>
        <w:t>ex ante</w:t>
      </w:r>
      <w:r w:rsidRPr="003C3367">
        <w:rPr>
          <w:rFonts w:ascii="Times New Roman" w:hAnsi="Times New Roman"/>
          <w:sz w:val="23"/>
          <w:szCs w:val="23"/>
        </w:rPr>
        <w:t xml:space="preserve"> ed </w:t>
      </w:r>
      <w:r w:rsidRPr="003C3367">
        <w:rPr>
          <w:rFonts w:ascii="Times New Roman" w:hAnsi="Times New Roman"/>
          <w:i/>
          <w:sz w:val="23"/>
          <w:szCs w:val="23"/>
        </w:rPr>
        <w:t xml:space="preserve">in </w:t>
      </w:r>
      <w:r w:rsidRPr="003C3367">
        <w:rPr>
          <w:rFonts w:ascii="Times New Roman" w:hAnsi="Times New Roman"/>
          <w:sz w:val="23"/>
          <w:szCs w:val="23"/>
        </w:rPr>
        <w:t>itinere della verificabilità e della controllabilità delle misure inserite nel Programma di Sviluppo Rurale 2014/2020, nonché nel corso della sua attuazione (art. 62 del Reg. (UE) n. 1305/2013</w:t>
      </w:r>
      <w:r w:rsidRPr="003C3367">
        <w:rPr>
          <w:rFonts w:ascii="Times New Roman" w:hAnsi="Times New Roman"/>
        </w:rPr>
        <w:t xml:space="preserve">). </w:t>
      </w:r>
    </w:p>
    <w:p w:rsidR="00F40D38" w:rsidRPr="00E63330" w:rsidRDefault="00F40D38" w:rsidP="00AF6636">
      <w:pPr>
        <w:autoSpaceDE w:val="0"/>
        <w:autoSpaceDN w:val="0"/>
        <w:adjustRightInd w:val="0"/>
        <w:spacing w:after="0" w:line="240" w:lineRule="auto"/>
        <w:ind w:left="720"/>
        <w:rPr>
          <w:rFonts w:ascii="Times New Roman" w:hAnsi="Times New Roman"/>
          <w:color w:val="000000"/>
          <w:sz w:val="14"/>
          <w:szCs w:val="24"/>
          <w:lang w:eastAsia="it-IT"/>
        </w:rPr>
      </w:pPr>
    </w:p>
    <w:p w:rsidR="00C54597" w:rsidRPr="00E63330" w:rsidRDefault="00B67442" w:rsidP="00C54597">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3) </w:t>
      </w:r>
      <w:r w:rsidR="0096592E" w:rsidRPr="003C3367">
        <w:rPr>
          <w:rFonts w:ascii="Times New Roman" w:hAnsi="Times New Roman"/>
          <w:b/>
          <w:color w:val="000000"/>
          <w:sz w:val="24"/>
          <w:szCs w:val="24"/>
          <w:u w:val="single"/>
          <w:lang w:eastAsia="it-IT"/>
        </w:rPr>
        <w:t xml:space="preserve">Struttura Dirigenziale Esecuzione dei Pagamenti </w:t>
      </w:r>
    </w:p>
    <w:p w:rsidR="008676D4" w:rsidRPr="00E63330" w:rsidRDefault="008676D4" w:rsidP="00C54597">
      <w:pPr>
        <w:pStyle w:val="Elencoacolori-Colore11"/>
        <w:autoSpaceDE w:val="0"/>
        <w:autoSpaceDN w:val="0"/>
        <w:adjustRightInd w:val="0"/>
        <w:spacing w:after="0" w:line="240" w:lineRule="auto"/>
        <w:ind w:left="709"/>
        <w:jc w:val="both"/>
        <w:rPr>
          <w:rFonts w:ascii="Times New Roman" w:hAnsi="Times New Roman"/>
          <w:color w:val="000000"/>
          <w:sz w:val="24"/>
          <w:szCs w:val="24"/>
          <w:lang w:eastAsia="it-IT"/>
        </w:rPr>
      </w:pPr>
    </w:p>
    <w:p w:rsidR="00473148" w:rsidRPr="00E63330" w:rsidRDefault="0096592E" w:rsidP="00942E2C">
      <w:pPr>
        <w:pStyle w:val="Elencoacolori-Colore11"/>
        <w:numPr>
          <w:ilvl w:val="0"/>
          <w:numId w:val="33"/>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Ufficio “Esecuzione dei pagamenti” (E1)</w:t>
      </w:r>
      <w:r w:rsidRPr="003C3367">
        <w:rPr>
          <w:rFonts w:ascii="Times New Roman" w:hAnsi="Times New Roman"/>
          <w:color w:val="000000"/>
          <w:sz w:val="24"/>
          <w:szCs w:val="24"/>
          <w:lang w:eastAsia="it-IT"/>
        </w:rPr>
        <w:t>:</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Esegue controlli amministrativi e finanziari prescritti dalle norme comunitarie e nazionali vigenti per l’effettuazione dei pagamenti degli aiuti comunitari ascritti ai Fondi FEAGA e FEASR;</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Delinea le procedure tecniche ed amministrative volte all’esecuzione dei pagamenti autorizzati;</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i pagamenti con</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la produzione di apposito “ordinativo di pagamento”;</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Impartisce le necessarie</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istruzioni all’Istituto Cassiere per l’esecuzione dei pagamenti autorizzati, controllando tutte le fasi del processo;</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Controlla e conserva gli ordinativi di pagamento relativi alle domande di aiuto e di contributo comunitario, statale e regionale in materia agricola, nonché la documentazione allegata e quella attestante l’esecuzione dei controlli amministrativi effettuati;</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Acquisisce e gestisce tempestivamente i dati dei pagamenti non andati a buon fine;</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Attua la corretta applicazione delle procedure di pagamento degli aiuti comunitari per come previsto nella Convenzione con l’Istituto Cassiere;</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Indice e/o partecipa alle riunioni di staff insieme al Direttore e ai Dirigenti della Funzione “Autorizzazione dei Pagamenti” e della Funzione “Contabilizzazione dei pagamenti”, allo scopo di stabilire i criteri di priorità nel caso in cui la disponibilità di cassa non consente l’erogazione dei flussi giacenti;</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la riconciliazione degli stati di concordanza degli estratti conto bancari trasmessi dall’Istituto Cassiere e dalla Tesoreria Provinciale della Banca d’Italia;</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Custodisce e monitora le polizze fideiussorie relative agli aiuti e contributi comunitari;</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Verifica la correttezza delle procedure di svincolo, di proroga e di incameramento delle garanzie;</w:t>
      </w:r>
    </w:p>
    <w:p w:rsidR="00C55A7F" w:rsidRPr="00E63330" w:rsidRDefault="0096592E" w:rsidP="00942E2C">
      <w:pPr>
        <w:pStyle w:val="Elencoacolori-Colore11"/>
        <w:numPr>
          <w:ilvl w:val="0"/>
          <w:numId w:val="29"/>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Interagisce con l’Ufficio Contenzioso Comunitario e le Funzioni</w:t>
      </w:r>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di Autorizzazione e Contabilizzazione dei Pagamenti all’interno del Comitato per la Gestione dei Debiti, collaborando con il Direttore al</w:t>
      </w:r>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funzionamento ed alla pianificazione delle attività del medesimo;</w:t>
      </w:r>
    </w:p>
    <w:p w:rsidR="00C55A7F"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rsidR="00C55A7F"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F40D38" w:rsidRPr="00E63330" w:rsidRDefault="00F40D38" w:rsidP="00F40D38">
      <w:pPr>
        <w:tabs>
          <w:tab w:val="left" w:pos="709"/>
        </w:tabs>
        <w:spacing w:after="120"/>
        <w:ind w:left="714"/>
        <w:jc w:val="both"/>
        <w:rPr>
          <w:rFonts w:ascii="Times New Roman" w:eastAsia="Times New Roman" w:hAnsi="Times New Roman"/>
          <w:iCs/>
          <w:color w:val="000000"/>
          <w:sz w:val="24"/>
          <w:szCs w:val="24"/>
          <w:lang w:eastAsia="it-IT"/>
        </w:rPr>
      </w:pPr>
    </w:p>
    <w:p w:rsidR="00F40D38" w:rsidRPr="00E63330" w:rsidRDefault="0096592E" w:rsidP="00F40D38">
      <w:pPr>
        <w:pStyle w:val="Elencoacolori-Colore11"/>
        <w:numPr>
          <w:ilvl w:val="0"/>
          <w:numId w:val="33"/>
        </w:numPr>
        <w:autoSpaceDE w:val="0"/>
        <w:autoSpaceDN w:val="0"/>
        <w:adjustRightInd w:val="0"/>
        <w:spacing w:after="0" w:line="240" w:lineRule="auto"/>
        <w:ind w:left="709" w:hanging="425"/>
        <w:jc w:val="both"/>
        <w:rPr>
          <w:rFonts w:ascii="Times New Roman" w:eastAsia="Times New Roman" w:hAnsi="Times New Roman"/>
          <w:iCs/>
          <w:color w:val="000000"/>
          <w:sz w:val="24"/>
          <w:szCs w:val="24"/>
          <w:lang w:eastAsia="it-IT"/>
        </w:rPr>
      </w:pPr>
      <w:r>
        <w:rPr>
          <w:rFonts w:ascii="Times New Roman" w:hAnsi="Times New Roman"/>
          <w:b/>
          <w:color w:val="000000"/>
          <w:sz w:val="24"/>
          <w:szCs w:val="24"/>
          <w:u w:val="single"/>
          <w:lang w:eastAsia="it-IT"/>
        </w:rPr>
        <w:t>L'Ufficio “Servizio Tecnico” (E2)</w:t>
      </w:r>
    </w:p>
    <w:p w:rsidR="00F40D38" w:rsidRPr="00E63330" w:rsidRDefault="0096592E" w:rsidP="00F40D38">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Gestisce il sistema dei controlli tecnici funzionali all’eleggibilità della spesa, emettendo le relative istruzioni; </w:t>
      </w:r>
    </w:p>
    <w:p w:rsidR="00F40D38" w:rsidRPr="00E63330" w:rsidRDefault="0096592E" w:rsidP="00F40D38">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Garantisce l’efficacia del sistema dei controlli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F40D38" w:rsidRPr="00E63330" w:rsidRDefault="0096592E" w:rsidP="00F40D38">
      <w:pPr>
        <w:pStyle w:val="Elencoacolori-Colore11"/>
        <w:numPr>
          <w:ilvl w:val="0"/>
          <w:numId w:val="28"/>
        </w:numPr>
        <w:spacing w:before="100" w:beforeAutospacing="1" w:after="120"/>
        <w:contextualSpacing w:val="0"/>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Verifica gli elementi tecnici che giustificano i pagamenti di premi, indennità e contributi ai richiedenti;</w:t>
      </w:r>
    </w:p>
    <w:p w:rsidR="00F40D38" w:rsidRPr="00E63330" w:rsidRDefault="0096592E" w:rsidP="00F40D38">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Definisce le specifiche tecniche ed i relativi manuali operativi, per la gestione dell’istruttoria delle domande, assicurando la loro conformità alla normativa comunitaria, statale e regionale;</w:t>
      </w:r>
    </w:p>
    <w:p w:rsidR="00F40D38" w:rsidRPr="00E63330" w:rsidRDefault="0096592E" w:rsidP="00F40D38">
      <w:pPr>
        <w:pStyle w:val="Elencoacolori-Colore11"/>
        <w:numPr>
          <w:ilvl w:val="0"/>
          <w:numId w:val="28"/>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Interagisce con l’Ufficio Contenzioso Comunitario e le Funzioni di Esecuzione e Contabilizzazione dei Pagamenti all’interno del Comitato per la Gestione dei Debiti, collaborando con il Direttore al funzionamento ed alla pianificazione delle attività del medesimo;</w:t>
      </w:r>
    </w:p>
    <w:p w:rsidR="00F40D38" w:rsidRPr="00E63330" w:rsidRDefault="0096592E" w:rsidP="00F40D38">
      <w:pPr>
        <w:numPr>
          <w:ilvl w:val="0"/>
          <w:numId w:val="28"/>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rsidR="00F40D38" w:rsidRPr="00E63330" w:rsidRDefault="0096592E" w:rsidP="00F40D38">
      <w:pPr>
        <w:numPr>
          <w:ilvl w:val="0"/>
          <w:numId w:val="28"/>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rsidR="00BA5D52" w:rsidRPr="00E63330" w:rsidRDefault="0096592E" w:rsidP="00F40D38">
      <w:pPr>
        <w:numPr>
          <w:ilvl w:val="0"/>
          <w:numId w:val="28"/>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Effettua un controllo di secondo livello sull’istruttoria delle domande di pagamento relative alle misure strutturali del PSR. In particolare tale verifica prevede che per ogni elenco di pagamento sia</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 xml:space="preserve">estratto almeno il 5% delle domande per numero ed almeno il 5% per importo. </w:t>
      </w:r>
    </w:p>
    <w:p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All’interno dell’Ufficio Servizio Tecnico è istituito l’Ufficio</w:t>
      </w:r>
      <w:r w:rsidR="009B7CE6">
        <w:rPr>
          <w:rFonts w:ascii="Times New Roman" w:eastAsia="Times New Roman" w:hAnsi="Times New Roman"/>
          <w:color w:val="000000"/>
          <w:sz w:val="24"/>
          <w:szCs w:val="24"/>
          <w:lang w:eastAsia="it-IT"/>
        </w:rPr>
        <w:t xml:space="preserve"> </w:t>
      </w:r>
      <w:r w:rsidRPr="003C3367">
        <w:rPr>
          <w:rFonts w:ascii="Times New Roman" w:eastAsia="Times New Roman" w:hAnsi="Times New Roman"/>
          <w:color w:val="000000"/>
          <w:sz w:val="24"/>
          <w:szCs w:val="24"/>
          <w:lang w:eastAsia="it-IT"/>
        </w:rPr>
        <w:t>“UMA” che sovraintende a:</w:t>
      </w:r>
    </w:p>
    <w:p w:rsidR="00F40D38" w:rsidRPr="00E63330" w:rsidRDefault="0096592E" w:rsidP="00F40D38">
      <w:pPr>
        <w:spacing w:after="120"/>
        <w:ind w:left="360"/>
        <w:jc w:val="both"/>
        <w:rPr>
          <w:rFonts w:ascii="Times New Roman" w:hAnsi="Times New Roman"/>
          <w:sz w:val="24"/>
          <w:szCs w:val="24"/>
        </w:rPr>
      </w:pPr>
      <w:r w:rsidRPr="003C3367">
        <w:rPr>
          <w:rFonts w:ascii="Times New Roman" w:hAnsi="Times New Roman"/>
          <w:sz w:val="24"/>
          <w:szCs w:val="24"/>
        </w:rPr>
        <w:t xml:space="preserve"> “UMA”:</w:t>
      </w:r>
    </w:p>
    <w:p w:rsidR="00F40D38" w:rsidRPr="00E63330" w:rsidRDefault="0096592E" w:rsidP="00F40D38">
      <w:pPr>
        <w:numPr>
          <w:ilvl w:val="0"/>
          <w:numId w:val="44"/>
        </w:numPr>
        <w:spacing w:after="120"/>
        <w:ind w:left="709" w:hanging="283"/>
        <w:jc w:val="both"/>
        <w:rPr>
          <w:rFonts w:ascii="Times New Roman" w:hAnsi="Times New Roman"/>
          <w:bCs/>
          <w:sz w:val="24"/>
          <w:szCs w:val="24"/>
        </w:rPr>
      </w:pPr>
      <w:r w:rsidRPr="003C3367">
        <w:rPr>
          <w:rFonts w:ascii="Times New Roman" w:hAnsi="Times New Roman"/>
          <w:bCs/>
          <w:sz w:val="24"/>
          <w:szCs w:val="24"/>
        </w:rPr>
        <w:t xml:space="preserve">procedure informatizzate di predisposizione invio elettronico delle Domande UMA e, in generale, di gestione dei relativi procedimenti, finalizzate a assicurare che siano dotate di funzionalità tali da consentire il pieno interscambio dei dati e delle informazioni contenute nei fascicoli aziendali elettronici dei richiedenti; </w:t>
      </w:r>
    </w:p>
    <w:p w:rsidR="00F40D38" w:rsidRPr="00E63330" w:rsidRDefault="0096592E" w:rsidP="00F40D38">
      <w:pPr>
        <w:numPr>
          <w:ilvl w:val="0"/>
          <w:numId w:val="44"/>
        </w:numPr>
        <w:spacing w:after="120"/>
        <w:ind w:left="709" w:hanging="283"/>
        <w:jc w:val="both"/>
        <w:rPr>
          <w:rFonts w:ascii="Times New Roman" w:hAnsi="Times New Roman"/>
          <w:sz w:val="24"/>
          <w:szCs w:val="24"/>
        </w:rPr>
      </w:pPr>
      <w:r w:rsidRPr="003C3367">
        <w:rPr>
          <w:rFonts w:ascii="Times New Roman" w:hAnsi="Times New Roman"/>
          <w:bCs/>
          <w:sz w:val="24"/>
          <w:szCs w:val="24"/>
        </w:rPr>
        <w:t>funzioni di controllo previste dagli articoli 7 e 8 del DM 454/2001 a carico delle aziende agricole e dei CAA.</w:t>
      </w:r>
    </w:p>
    <w:p w:rsidR="00205B07" w:rsidRPr="00E63330" w:rsidRDefault="00205B07" w:rsidP="00155746">
      <w:pPr>
        <w:tabs>
          <w:tab w:val="left" w:pos="709"/>
        </w:tabs>
        <w:spacing w:after="120"/>
        <w:ind w:left="714"/>
        <w:jc w:val="both"/>
        <w:rPr>
          <w:rFonts w:ascii="Times New Roman" w:eastAsia="Times New Roman" w:hAnsi="Times New Roman"/>
          <w:iCs/>
          <w:color w:val="000000"/>
          <w:sz w:val="24"/>
          <w:szCs w:val="24"/>
          <w:lang w:eastAsia="it-IT"/>
        </w:rPr>
      </w:pPr>
    </w:p>
    <w:p w:rsidR="00B34E1A" w:rsidRPr="00E63330" w:rsidRDefault="00B67442" w:rsidP="00B34E1A">
      <w:pPr>
        <w:spacing w:after="120"/>
        <w:ind w:left="720"/>
        <w:jc w:val="both"/>
        <w:rPr>
          <w:rFonts w:ascii="Times New Roman" w:hAnsi="Times New Roman"/>
          <w:sz w:val="23"/>
          <w:szCs w:val="23"/>
        </w:rPr>
      </w:pPr>
      <w:r>
        <w:rPr>
          <w:rFonts w:ascii="Times New Roman" w:hAnsi="Times New Roman"/>
          <w:b/>
          <w:color w:val="000000"/>
          <w:sz w:val="24"/>
          <w:szCs w:val="24"/>
          <w:u w:val="single"/>
          <w:lang w:eastAsia="it-IT"/>
        </w:rPr>
        <w:t xml:space="preserve">4) </w:t>
      </w:r>
      <w:r w:rsidR="0096592E" w:rsidRPr="003C3367">
        <w:rPr>
          <w:rFonts w:ascii="Times New Roman" w:hAnsi="Times New Roman"/>
          <w:b/>
          <w:color w:val="000000"/>
          <w:sz w:val="24"/>
          <w:szCs w:val="24"/>
          <w:u w:val="single"/>
          <w:lang w:eastAsia="it-IT"/>
        </w:rPr>
        <w:t>Struttura Dirigenziale Contabilizzazione</w:t>
      </w:r>
    </w:p>
    <w:p w:rsidR="00AF6636" w:rsidRPr="00E63330"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rsidR="0097118C" w:rsidRPr="00E63330" w:rsidRDefault="0096592E" w:rsidP="00942E2C">
      <w:pPr>
        <w:pStyle w:val="Elencoacolori-Colore11"/>
        <w:numPr>
          <w:ilvl w:val="0"/>
          <w:numId w:val="33"/>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Ufficio “Contabilizzazione” (C1)</w:t>
      </w:r>
      <w:r w:rsidRPr="003C3367">
        <w:rPr>
          <w:rFonts w:ascii="Times New Roman" w:hAnsi="Times New Roman"/>
          <w:color w:val="000000"/>
          <w:sz w:val="24"/>
          <w:szCs w:val="24"/>
          <w:lang w:eastAsia="it-IT"/>
        </w:rPr>
        <w:t>:</w:t>
      </w:r>
    </w:p>
    <w:p w:rsidR="0097118C" w:rsidRPr="00E63330"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rsidR="00C55A7F" w:rsidRPr="00E63330" w:rsidRDefault="0096592E" w:rsidP="00942E2C">
      <w:pPr>
        <w:numPr>
          <w:ilvl w:val="0"/>
          <w:numId w:val="30"/>
        </w:numPr>
        <w:spacing w:after="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lastRenderedPageBreak/>
        <w:t>Provvede alla conciliazione giornaliera/mensile del giornale di cassa;</w:t>
      </w:r>
      <w:r w:rsidRPr="003C3367">
        <w:rPr>
          <w:rFonts w:ascii="Times New Roman" w:eastAsia="Times New Roman" w:hAnsi="Times New Roman"/>
          <w:iCs/>
          <w:color w:val="000000"/>
          <w:sz w:val="24"/>
          <w:szCs w:val="24"/>
          <w:lang w:eastAsia="it-IT"/>
        </w:rPr>
        <w:br/>
      </w:r>
    </w:p>
    <w:p w:rsidR="00C55A7F" w:rsidRPr="00E63330" w:rsidRDefault="0096592E" w:rsidP="00942E2C">
      <w:pPr>
        <w:numPr>
          <w:ilvl w:val="0"/>
          <w:numId w:val="30"/>
        </w:numPr>
        <w:spacing w:after="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alla registrazione sui rispettivi conti partitari dei movimenti contabili in entrata e in uscita;</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 controllo finanziario per la verifica della disponibilità delle risorse sui conti partitari;</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alla registrazione dei recuperi per compensazione, aggiornamento dello Stato di Tesoreria ed alla predisposizione delle relative schede di incasso;</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Predispone le </w:t>
      </w:r>
      <w:proofErr w:type="spellStart"/>
      <w:r w:rsidRPr="003C3367">
        <w:rPr>
          <w:rFonts w:ascii="Times New Roman" w:eastAsia="Times New Roman" w:hAnsi="Times New Roman"/>
          <w:i/>
          <w:iCs/>
          <w:color w:val="000000"/>
          <w:sz w:val="24"/>
          <w:szCs w:val="24"/>
          <w:lang w:eastAsia="it-IT"/>
        </w:rPr>
        <w:t>checklist</w:t>
      </w:r>
      <w:proofErr w:type="spellEnd"/>
      <w:r w:rsidRPr="003C3367">
        <w:rPr>
          <w:rFonts w:ascii="Times New Roman" w:eastAsia="Times New Roman" w:hAnsi="Times New Roman"/>
          <w:iCs/>
          <w:color w:val="000000"/>
          <w:sz w:val="24"/>
          <w:szCs w:val="24"/>
          <w:lang w:eastAsia="it-IT"/>
        </w:rPr>
        <w:t xml:space="preserve"> attestanti la correttezza delle attività di registrazione dei fatti contabili;</w:t>
      </w:r>
    </w:p>
    <w:p w:rsidR="001378E6" w:rsidRDefault="0096592E" w:rsidP="003C3367">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e trasmette le tabelle settimanali di rendicontazione FEAGA e FEASR, le tabelle mensili di rendicontazione FEAGA ed il rendiconto trimestrale FEASR;</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ad AGEA – Coordinamento il fabbisogno finanziario mensile e dei plafond di spesa FEAGA;</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le tabelle relative alla liquidazione dei conti FEAGA e FEASR;</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al MEF i flussi di cassa settimanali e mensili;</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il Rendiconto generale FEAGA da trasmettere al MEF ed il Rendiconto generale FEASR da trasmettere annualmente alla Ragioneria Generale della Calabria;</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Iscrive e monitora le posizioni debitorie nell’apposito Registro e predispone le relative </w:t>
      </w:r>
      <w:proofErr w:type="spellStart"/>
      <w:r w:rsidRPr="003C3367">
        <w:rPr>
          <w:rFonts w:ascii="Times New Roman" w:eastAsia="Times New Roman" w:hAnsi="Times New Roman"/>
          <w:i/>
          <w:iCs/>
          <w:color w:val="000000"/>
          <w:sz w:val="24"/>
          <w:szCs w:val="24"/>
          <w:lang w:eastAsia="it-IT"/>
        </w:rPr>
        <w:t>checklist</w:t>
      </w:r>
      <w:proofErr w:type="spellEnd"/>
      <w:r w:rsidRPr="003C3367">
        <w:rPr>
          <w:rFonts w:ascii="Times New Roman" w:eastAsia="Times New Roman" w:hAnsi="Times New Roman"/>
          <w:iCs/>
          <w:color w:val="000000"/>
          <w:sz w:val="24"/>
          <w:szCs w:val="24"/>
          <w:lang w:eastAsia="it-IT"/>
        </w:rPr>
        <w:t>;</w:t>
      </w:r>
    </w:p>
    <w:p w:rsidR="00C55A7F" w:rsidRPr="00E63330" w:rsidRDefault="0096592E" w:rsidP="00942E2C">
      <w:pPr>
        <w:numPr>
          <w:ilvl w:val="0"/>
          <w:numId w:val="30"/>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i recuperi da restituzione diretta tramite quietanza;</w:t>
      </w:r>
    </w:p>
    <w:p w:rsidR="00C55A7F" w:rsidRPr="00E63330" w:rsidRDefault="0096592E" w:rsidP="00942E2C">
      <w:pPr>
        <w:numPr>
          <w:ilvl w:val="0"/>
          <w:numId w:val="30"/>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e monitora le somme sospese;</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Trasmette trimestralmente il modello 1848/06 per la comunicazione al </w:t>
      </w:r>
      <w:r w:rsidR="0074533F">
        <w:rPr>
          <w:rFonts w:ascii="Times New Roman" w:eastAsia="Times New Roman" w:hAnsi="Times New Roman"/>
          <w:iCs/>
          <w:color w:val="000000"/>
          <w:sz w:val="24"/>
          <w:szCs w:val="24"/>
          <w:lang w:eastAsia="it-IT"/>
        </w:rPr>
        <w:t>MIPAAFT</w:t>
      </w:r>
      <w:r w:rsidRPr="003C3367">
        <w:rPr>
          <w:rFonts w:ascii="Times New Roman" w:eastAsia="Times New Roman" w:hAnsi="Times New Roman"/>
          <w:iCs/>
          <w:color w:val="000000"/>
          <w:sz w:val="24"/>
          <w:szCs w:val="24"/>
          <w:lang w:eastAsia="it-IT"/>
        </w:rPr>
        <w:t xml:space="preserve"> dei casi di irregolarità di importo superiore a 10.000 euro;</w:t>
      </w:r>
    </w:p>
    <w:p w:rsidR="00C55A7F" w:rsidRPr="00E63330" w:rsidRDefault="0096592E" w:rsidP="00942E2C">
      <w:pPr>
        <w:numPr>
          <w:ilvl w:val="0"/>
          <w:numId w:val="30"/>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Interagisce con l’Ufficio Contenzioso Comunitario e le Funzioni</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di Autorizzazione ed Esecuzione dei Pagamenti all’interno del Comitato per la Gestione dei Debiti, collaborando con il Direttore al</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funzionamento ed alla pianificazione delle attività del medesimo;</w:t>
      </w:r>
    </w:p>
    <w:p w:rsidR="00C55A7F" w:rsidRPr="00E63330" w:rsidRDefault="0096592E" w:rsidP="00942E2C">
      <w:pPr>
        <w:numPr>
          <w:ilvl w:val="0"/>
          <w:numId w:val="30"/>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rsidR="00C55A7F" w:rsidRPr="00E63330" w:rsidRDefault="0096592E" w:rsidP="00942E2C">
      <w:pPr>
        <w:numPr>
          <w:ilvl w:val="0"/>
          <w:numId w:val="30"/>
        </w:numPr>
        <w:tabs>
          <w:tab w:val="clear" w:pos="720"/>
          <w:tab w:val="left" w:pos="709"/>
        </w:tabs>
        <w:spacing w:after="0"/>
        <w:ind w:left="714"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rsidR="00446746" w:rsidRPr="00E63330" w:rsidRDefault="0096592E" w:rsidP="00942E2C">
      <w:pPr>
        <w:numPr>
          <w:ilvl w:val="0"/>
          <w:numId w:val="30"/>
        </w:numPr>
        <w:jc w:val="both"/>
        <w:rPr>
          <w:rFonts w:ascii="Times New Roman" w:hAnsi="Times New Roman"/>
          <w:sz w:val="24"/>
          <w:szCs w:val="24"/>
        </w:rPr>
      </w:pPr>
      <w:r w:rsidRPr="003C3367">
        <w:rPr>
          <w:rFonts w:ascii="Times New Roman" w:hAnsi="Times New Roman"/>
          <w:sz w:val="24"/>
          <w:szCs w:val="24"/>
        </w:rPr>
        <w:t>È preposto alla contabilizzazione delle parti variabili del contratto di fornitura con l’organismo delegato SIN;</w:t>
      </w:r>
    </w:p>
    <w:p w:rsidR="00446746" w:rsidRPr="00E63330" w:rsidRDefault="0096592E" w:rsidP="00942E2C">
      <w:pPr>
        <w:numPr>
          <w:ilvl w:val="0"/>
          <w:numId w:val="30"/>
        </w:numPr>
        <w:jc w:val="both"/>
        <w:rPr>
          <w:rFonts w:ascii="Times New Roman" w:hAnsi="Times New Roman"/>
          <w:sz w:val="24"/>
          <w:szCs w:val="24"/>
        </w:rPr>
      </w:pPr>
      <w:r w:rsidRPr="003C3367">
        <w:rPr>
          <w:rFonts w:ascii="Times New Roman" w:hAnsi="Times New Roman"/>
          <w:sz w:val="24"/>
          <w:szCs w:val="24"/>
        </w:rPr>
        <w:t>Garantisce la corretta gestione delle cessioni di credito e/o dei mandati irrevocabili all’incasso da parte dei beneficiari;</w:t>
      </w:r>
    </w:p>
    <w:p w:rsidR="00172E67" w:rsidRPr="00E63330" w:rsidRDefault="0096592E" w:rsidP="00942E2C">
      <w:pPr>
        <w:pStyle w:val="Elencoacolori-Colore11"/>
        <w:numPr>
          <w:ilvl w:val="0"/>
          <w:numId w:val="33"/>
        </w:numPr>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hAnsi="Times New Roman"/>
          <w:b/>
          <w:iCs/>
          <w:color w:val="000000"/>
          <w:sz w:val="24"/>
          <w:szCs w:val="24"/>
          <w:u w:val="single"/>
          <w:lang w:eastAsia="it-IT"/>
        </w:rPr>
        <w:t>L’Ufficio “Contenzioso Comunitario ed Affari Legali” (C2)</w:t>
      </w:r>
      <w:r w:rsidRPr="003C3367">
        <w:rPr>
          <w:rFonts w:ascii="Times New Roman" w:hAnsi="Times New Roman"/>
          <w:iCs/>
          <w:color w:val="000000"/>
          <w:sz w:val="24"/>
          <w:szCs w:val="24"/>
          <w:lang w:eastAsia="it-IT"/>
        </w:rPr>
        <w:t>:</w:t>
      </w:r>
    </w:p>
    <w:p w:rsidR="00172E67" w:rsidRPr="00E63330" w:rsidRDefault="0096592E" w:rsidP="00942E2C">
      <w:pPr>
        <w:numPr>
          <w:ilvl w:val="3"/>
          <w:numId w:val="19"/>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Gestisce correttamente le irregolarità rilevate da organi esterni / interni all’ARCEA;</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lastRenderedPageBreak/>
        <w:t xml:space="preserve">Garantisce la corretta gestione del recupero delle somme indebitamente percepite nel rispetto della normativa comunitaria; </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Svolge attività di consulenza legale giudiziale e stragiudiziale a favore dell’Organismo Pagatore Regionale – ARCEA;</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Cura la gestione delle irregolarità, avvalendosi anche della collaborazione della Funzione Contabilizzazione;</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Cura le procedure amministrative del recupero coattivo (ruolo esattoriale);</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Organizza, coordina e verifica l'attività sanzionatoria di competenza dell’Organismo Pagatore Regionale;</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Autorizzazione Pagamenti e con la Funzione Contabilizzazione per quanto riguarda la gestione del Registro debitori e per la procedura di recupero crediti;</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Contabilizzazione dei Pagamenti all’iscrizione delle schede di credito e delle irregolarità nei registri tenuti da tale Funzione;</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Esecuzione dei Pagamenti per quanto riguarda le problematiche inerenti la prestazione di garanzie e polizze fideiussorie;</w:t>
      </w:r>
    </w:p>
    <w:p w:rsidR="00172E67" w:rsidRPr="00E63330" w:rsidRDefault="0096592E" w:rsidP="00942E2C">
      <w:pPr>
        <w:numPr>
          <w:ilvl w:val="3"/>
          <w:numId w:val="19"/>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Interagisce con le Funzioni di Autorizzazione, Esecuzione e Contabilizzazione dei Pagamenti all’interno del Comitato per la Gestione dei Debiti, collaborando con il Direttore al</w:t>
      </w:r>
      <w:r w:rsidR="009B7CE6">
        <w:rPr>
          <w:rFonts w:ascii="Times New Roman" w:eastAsia="Times New Roman" w:hAnsi="Times New Roman"/>
          <w:color w:val="000000"/>
          <w:sz w:val="24"/>
          <w:szCs w:val="24"/>
          <w:lang w:eastAsia="it-IT"/>
        </w:rPr>
        <w:t xml:space="preserve"> </w:t>
      </w:r>
      <w:r w:rsidRPr="003C3367">
        <w:rPr>
          <w:rFonts w:ascii="Times New Roman" w:eastAsia="Times New Roman" w:hAnsi="Times New Roman"/>
          <w:color w:val="000000"/>
          <w:sz w:val="24"/>
          <w:szCs w:val="24"/>
          <w:lang w:eastAsia="it-IT"/>
        </w:rPr>
        <w:t>funzionamento ed alla pianificazione delle attività del medesimo;</w:t>
      </w:r>
    </w:p>
    <w:p w:rsidR="00172E67"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rsidR="00172E67" w:rsidRPr="00E63330" w:rsidRDefault="0096592E" w:rsidP="00942E2C">
      <w:pPr>
        <w:numPr>
          <w:ilvl w:val="0"/>
          <w:numId w:val="18"/>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rsidR="00446746" w:rsidRDefault="0096592E" w:rsidP="00942E2C">
      <w:pPr>
        <w:numPr>
          <w:ilvl w:val="0"/>
          <w:numId w:val="18"/>
        </w:numPr>
        <w:jc w:val="both"/>
        <w:rPr>
          <w:rFonts w:ascii="Times New Roman" w:hAnsi="Times New Roman"/>
          <w:sz w:val="24"/>
          <w:szCs w:val="24"/>
        </w:rPr>
      </w:pPr>
      <w:r w:rsidRPr="003C3367">
        <w:rPr>
          <w:rFonts w:ascii="Times New Roman" w:hAnsi="Times New Roman"/>
          <w:sz w:val="24"/>
          <w:szCs w:val="24"/>
        </w:rPr>
        <w:t>Gestisce il registro per la gestione dei rapporti con le Autorità di Polizia Giudiziaria, ivi inclusi i verbali a qualunque titolo pervenuti in Agenzia;</w:t>
      </w:r>
    </w:p>
    <w:p w:rsidR="00862710" w:rsidRPr="003C3367" w:rsidRDefault="00862710" w:rsidP="00862710">
      <w:pPr>
        <w:pStyle w:val="Titolo1"/>
      </w:pPr>
      <w:bookmarkStart w:id="57" w:name="_Toc1046950"/>
      <w:r w:rsidRPr="003C3367">
        <w:t>Contabilità Analitica in ARCEA (Sezione Sperimentale)</w:t>
      </w:r>
      <w:bookmarkEnd w:id="57"/>
      <w:r w:rsidRPr="003C3367">
        <w:t xml:space="preserve"> </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In recepimento di quanto indicato dall’OIV in molteplici documenti finalizzati al monitoraggio e al presidio della Gestione delle Performance nell’Agenzia (si vedano ad esempio le Relazioni di Avvio del Ciclo delle Performance e le Relazioni annuali sul funzionamento complessivo del Sistema di valutazione, trasparenza e integrità dei controlli interni), l’ARCEA ha deciso di integrare nei documenti relativi alle Performance (Piani e Relazioni), in via sperimentale ed in attesa che la Regione Calabria integri il software da utilizzare obbligatoriamente, ai sensi della normativa regionale, per la gestione contabile dell’Agenzia, alcuni principi ed indicatori di contabilità analitica, con l’intento di verificare l’efficienza delle proprie articolazioni dirigenziali. </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E’ bene, innanzitutto, premettere che, come affermato dalla Ragioneria Generale dello Stato nel “Manuale dei principi e delle regole contabili” del 2008, la cui validità è stata confermata nella circolare </w:t>
      </w:r>
      <w:proofErr w:type="spellStart"/>
      <w:r w:rsidRPr="003C3367">
        <w:rPr>
          <w:rFonts w:ascii="Times New Roman" w:hAnsi="Times New Roman"/>
          <w:sz w:val="24"/>
          <w:szCs w:val="24"/>
        </w:rPr>
        <w:t>num</w:t>
      </w:r>
      <w:proofErr w:type="spellEnd"/>
      <w:r w:rsidRPr="003C3367">
        <w:rPr>
          <w:rFonts w:ascii="Times New Roman" w:hAnsi="Times New Roman"/>
          <w:sz w:val="24"/>
          <w:szCs w:val="24"/>
        </w:rPr>
        <w:t>. 7 del 2018 avente ad oggetto “Rendiconto generale dell'esercizio finanziario 2017” (valida per gli Enti Centrali ma comunque indicativa anche per le amministrazioni locali), “</w:t>
      </w:r>
      <w:r w:rsidRPr="003C3367">
        <w:rPr>
          <w:rFonts w:ascii="Times New Roman" w:hAnsi="Times New Roman"/>
          <w:i/>
          <w:sz w:val="24"/>
          <w:szCs w:val="24"/>
        </w:rPr>
        <w:t>un sistema di contabilità economica viene definito analitico quando il costo (valore delle risorse impiegate), oltre che alla natura, è correlato alla struttura organizzativa ed alla destinazione, ossia allo scopo per cui le risorse sono impiegate</w:t>
      </w:r>
      <w:r w:rsidRPr="003C3367">
        <w:rPr>
          <w:rFonts w:ascii="Times New Roman" w:hAnsi="Times New Roman"/>
          <w:sz w:val="24"/>
          <w:szCs w:val="24"/>
        </w:rPr>
        <w:t xml:space="preserve">”. </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lastRenderedPageBreak/>
        <w:t xml:space="preserve">In proposito, il </w:t>
      </w:r>
      <w:proofErr w:type="spellStart"/>
      <w:r w:rsidRPr="003C3367">
        <w:rPr>
          <w:rFonts w:ascii="Times New Roman" w:hAnsi="Times New Roman"/>
          <w:sz w:val="24"/>
          <w:szCs w:val="24"/>
        </w:rPr>
        <w:t>D.Leg.vo</w:t>
      </w:r>
      <w:proofErr w:type="spellEnd"/>
      <w:r w:rsidRPr="003C3367">
        <w:rPr>
          <w:rFonts w:ascii="Times New Roman" w:hAnsi="Times New Roman"/>
          <w:sz w:val="24"/>
          <w:szCs w:val="24"/>
        </w:rPr>
        <w:t xml:space="preserve"> n. 279/97 stabilisce che il Sistema unico di contabilità economica delle pubbliche amministrazioni rilevi i costi per natura, per responsabilità e per finalità.</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I costi sono rilevati per natura, secondo le caratteristiche fisico-economiche degli stessi, sulla base del Piano dei conti. </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Per quanto riguarda la responsabilità, il sistema di contabilità economica adotta un Piano dei Centri di costo, i cui titolari sono responsabili dell’impiego delle risorse umane e strumentali loro affidate; i centri di costo “</w:t>
      </w:r>
      <w:r w:rsidRPr="003C3367">
        <w:rPr>
          <w:rFonts w:ascii="Times New Roman" w:hAnsi="Times New Roman"/>
          <w:i/>
          <w:sz w:val="24"/>
          <w:szCs w:val="24"/>
        </w:rPr>
        <w:t>sono individuati in coerenza con il sistema dei Centri di responsabilità dell'amministrazione, ne rilevano i risultati economici e ne seguono l'evoluzione, anche in relazione ai provvedimenti di riorganizzazione</w:t>
      </w:r>
      <w:r w:rsidRPr="003C3367">
        <w:rPr>
          <w:rFonts w:ascii="Times New Roman" w:hAnsi="Times New Roman"/>
          <w:sz w:val="24"/>
          <w:szCs w:val="24"/>
        </w:rPr>
        <w:t xml:space="preserve">” (art. 10, comma 4, </w:t>
      </w:r>
      <w:proofErr w:type="spellStart"/>
      <w:r w:rsidRPr="003C3367">
        <w:rPr>
          <w:rFonts w:ascii="Times New Roman" w:hAnsi="Times New Roman"/>
          <w:sz w:val="24"/>
          <w:szCs w:val="24"/>
        </w:rPr>
        <w:t>D.Leg.vo</w:t>
      </w:r>
      <w:proofErr w:type="spellEnd"/>
      <w:r w:rsidRPr="003C3367">
        <w:rPr>
          <w:rFonts w:ascii="Times New Roman" w:hAnsi="Times New Roman"/>
          <w:sz w:val="24"/>
          <w:szCs w:val="24"/>
        </w:rPr>
        <w:t xml:space="preserve"> n. 279/97). </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Per quanto attiene, infine, alla finalità dei costi, trova applicazione la nuova classificazione delle politiche pubbliche di settore per Missioni e per Programmi. </w:t>
      </w:r>
    </w:p>
    <w:p w:rsidR="00862710" w:rsidRPr="003C3367" w:rsidRDefault="00862710" w:rsidP="00862710">
      <w:pPr>
        <w:rPr>
          <w:rFonts w:ascii="Times New Roman" w:hAnsi="Times New Roman"/>
          <w:sz w:val="24"/>
          <w:szCs w:val="24"/>
        </w:rPr>
      </w:pP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Di seguito si riporta una rappresentazione grafica delle tre viste adottate dal sistema di contabilità economica analitica:</w:t>
      </w:r>
    </w:p>
    <w:p w:rsidR="00862710" w:rsidRPr="003C3367" w:rsidRDefault="00862710" w:rsidP="00862710">
      <w:pPr>
        <w:jc w:val="center"/>
        <w:rPr>
          <w:rFonts w:ascii="Times New Roman" w:hAnsi="Times New Roman"/>
          <w:sz w:val="24"/>
          <w:szCs w:val="24"/>
        </w:rPr>
      </w:pPr>
    </w:p>
    <w:p w:rsidR="00862710" w:rsidRPr="003C3367" w:rsidRDefault="00862710" w:rsidP="00862710">
      <w:pPr>
        <w:jc w:val="center"/>
        <w:rPr>
          <w:rFonts w:ascii="Times New Roman" w:hAnsi="Times New Roman"/>
          <w:sz w:val="24"/>
          <w:szCs w:val="24"/>
        </w:rPr>
      </w:pPr>
      <w:r w:rsidRPr="003C3367">
        <w:rPr>
          <w:rFonts w:ascii="Times New Roman" w:hAnsi="Times New Roman"/>
          <w:noProof/>
          <w:sz w:val="24"/>
          <w:szCs w:val="24"/>
          <w:lang w:eastAsia="it-IT"/>
        </w:rPr>
        <w:drawing>
          <wp:inline distT="0" distB="0" distL="0" distR="0" wp14:anchorId="115D2699" wp14:editId="3D9E6D2F">
            <wp:extent cx="3763645" cy="2269490"/>
            <wp:effectExtent l="0" t="0" r="0" b="0"/>
            <wp:docPr id="3"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645" cy="2269490"/>
                    </a:xfrm>
                    <a:prstGeom prst="rect">
                      <a:avLst/>
                    </a:prstGeom>
                    <a:noFill/>
                    <a:ln>
                      <a:noFill/>
                    </a:ln>
                  </pic:spPr>
                </pic:pic>
              </a:graphicData>
            </a:graphic>
          </wp:inline>
        </w:drawing>
      </w:r>
    </w:p>
    <w:p w:rsidR="00862710" w:rsidRPr="003C3367" w:rsidRDefault="00862710" w:rsidP="00862710">
      <w:pPr>
        <w:jc w:val="center"/>
        <w:rPr>
          <w:rFonts w:ascii="Times New Roman" w:hAnsi="Times New Roman"/>
          <w:sz w:val="24"/>
          <w:szCs w:val="24"/>
        </w:rPr>
      </w:pPr>
    </w:p>
    <w:p w:rsidR="00862710" w:rsidRPr="003C3367" w:rsidRDefault="00862710" w:rsidP="00862710">
      <w:pPr>
        <w:jc w:val="center"/>
        <w:rPr>
          <w:rFonts w:ascii="Times New Roman" w:hAnsi="Times New Roman"/>
          <w:sz w:val="24"/>
          <w:szCs w:val="24"/>
        </w:rPr>
      </w:pP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I centri di costo corrispondono, di norma, alle strutture organizzative di livello dirigenziale generale.</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w:t>
      </w:r>
      <w:proofErr w:type="spellStart"/>
      <w:r w:rsidRPr="003C3367">
        <w:rPr>
          <w:rFonts w:ascii="Times New Roman" w:hAnsi="Times New Roman"/>
          <w:sz w:val="24"/>
          <w:szCs w:val="24"/>
        </w:rPr>
        <w:t>D.Leg.vo</w:t>
      </w:r>
      <w:proofErr w:type="spellEnd"/>
      <w:r w:rsidRPr="003C3367">
        <w:rPr>
          <w:rFonts w:ascii="Times New Roman" w:hAnsi="Times New Roman"/>
          <w:sz w:val="24"/>
          <w:szCs w:val="24"/>
        </w:rPr>
        <w:t xml:space="preserve"> n. 279/97). </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Agli stessi titolari, inoltre, ovvero ai “dirigenti responsabili della gestione delle singole unità previsionali di bilancio”, sono riferibili le responsabilità inerenti la formulazione di proposte di bilancio e la definizione di obiettivi e programmi correlati (art. 4-bis, Legge n. 468/78).</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lastRenderedPageBreak/>
        <w:t xml:space="preserve">In ARCEA è, pertanto, individuato nella Direzione Generale un unico centro di responsabilità e nelle strutture Dirigenziali (compresa la Direzione Generale, in quanto il Direttore dell’ARCEA è anche il Dirigente degli Uffici che ne sono sprovvisti) i relativi centro di costo. </w:t>
      </w:r>
    </w:p>
    <w:p w:rsidR="00862710" w:rsidRPr="003C3367" w:rsidRDefault="00862710" w:rsidP="00862710">
      <w:pPr>
        <w:jc w:val="both"/>
        <w:rPr>
          <w:rFonts w:ascii="Times New Roman" w:hAnsi="Times New Roman"/>
          <w:b/>
          <w:sz w:val="24"/>
          <w:szCs w:val="24"/>
        </w:rPr>
      </w:pPr>
      <w:r w:rsidRPr="003C3367">
        <w:rPr>
          <w:rFonts w:ascii="Times New Roman" w:hAnsi="Times New Roman"/>
          <w:b/>
          <w:sz w:val="24"/>
          <w:szCs w:val="24"/>
        </w:rPr>
        <w:t xml:space="preserve">1) Suddivisione dei costi per Destinazione: </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Preliminarmente è necessario sottolineare come le spese dell’Agenzia sono riferibili a tre “missioni” e cinque “programmi” per come di seguito dettagliato: </w:t>
      </w:r>
    </w:p>
    <w:p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MISSIONI</w:t>
      </w:r>
    </w:p>
    <w:p w:rsidR="00862710" w:rsidRPr="00AD0FFB" w:rsidRDefault="00862710" w:rsidP="00862710">
      <w:pPr>
        <w:pStyle w:val="Paragrafoelenco"/>
        <w:numPr>
          <w:ilvl w:val="0"/>
          <w:numId w:val="67"/>
        </w:numPr>
        <w:spacing w:after="160" w:line="256" w:lineRule="auto"/>
        <w:rPr>
          <w:rFonts w:ascii="Times New Roman" w:hAnsi="Times New Roman"/>
          <w:sz w:val="24"/>
          <w:szCs w:val="24"/>
        </w:rPr>
      </w:pPr>
      <w:r w:rsidRPr="00AD0FFB">
        <w:rPr>
          <w:rFonts w:ascii="Times New Roman" w:hAnsi="Times New Roman"/>
          <w:sz w:val="24"/>
          <w:szCs w:val="24"/>
        </w:rPr>
        <w:t>Missione: 1: Servizi istituzionali, generali e di gestione</w:t>
      </w:r>
    </w:p>
    <w:p w:rsidR="00862710" w:rsidRPr="00AD0FFB" w:rsidRDefault="00862710" w:rsidP="00862710">
      <w:pPr>
        <w:pStyle w:val="Paragrafoelenco"/>
        <w:numPr>
          <w:ilvl w:val="0"/>
          <w:numId w:val="67"/>
        </w:numPr>
        <w:spacing w:after="160" w:line="256" w:lineRule="auto"/>
        <w:rPr>
          <w:rFonts w:ascii="Times New Roman" w:hAnsi="Times New Roman"/>
          <w:sz w:val="24"/>
          <w:szCs w:val="24"/>
        </w:rPr>
      </w:pPr>
      <w:r w:rsidRPr="00AD0FFB">
        <w:rPr>
          <w:rFonts w:ascii="Times New Roman" w:hAnsi="Times New Roman"/>
          <w:sz w:val="24"/>
          <w:szCs w:val="24"/>
        </w:rPr>
        <w:t>Missione: 16: Agricoltura, politiche agroalimentari e pesca</w:t>
      </w:r>
    </w:p>
    <w:p w:rsidR="00862710" w:rsidRPr="00AD0FFB" w:rsidRDefault="00862710" w:rsidP="00862710">
      <w:pPr>
        <w:pStyle w:val="Paragrafoelenco"/>
        <w:numPr>
          <w:ilvl w:val="0"/>
          <w:numId w:val="67"/>
        </w:numPr>
        <w:spacing w:after="160" w:line="256" w:lineRule="auto"/>
        <w:rPr>
          <w:rFonts w:ascii="Times New Roman" w:hAnsi="Times New Roman"/>
          <w:sz w:val="24"/>
          <w:szCs w:val="24"/>
        </w:rPr>
      </w:pPr>
      <w:r w:rsidRPr="00AD0FFB">
        <w:rPr>
          <w:rFonts w:ascii="Times New Roman" w:hAnsi="Times New Roman"/>
          <w:sz w:val="24"/>
          <w:szCs w:val="24"/>
        </w:rPr>
        <w:t>Missione: 99: SERVIZI PER CONTO TERZI</w:t>
      </w:r>
    </w:p>
    <w:p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 xml:space="preserve">PROGRAMMI </w:t>
      </w:r>
    </w:p>
    <w:p w:rsidR="00862710" w:rsidRPr="00AD0FFB" w:rsidRDefault="00862710" w:rsidP="00862710">
      <w:pPr>
        <w:pStyle w:val="Paragrafoelenco"/>
        <w:numPr>
          <w:ilvl w:val="0"/>
          <w:numId w:val="69"/>
        </w:numPr>
        <w:spacing w:after="160" w:line="256" w:lineRule="auto"/>
        <w:rPr>
          <w:rFonts w:ascii="Times New Roman" w:hAnsi="Times New Roman"/>
          <w:sz w:val="24"/>
          <w:szCs w:val="24"/>
        </w:rPr>
      </w:pPr>
      <w:r w:rsidRPr="00AD0FFB">
        <w:rPr>
          <w:rFonts w:ascii="Times New Roman" w:hAnsi="Times New Roman"/>
          <w:sz w:val="24"/>
          <w:szCs w:val="24"/>
        </w:rPr>
        <w:t>Programma 1.1: Organi istituzionali</w:t>
      </w:r>
    </w:p>
    <w:p w:rsidR="00862710" w:rsidRPr="00AD0FFB" w:rsidRDefault="00862710" w:rsidP="00862710">
      <w:pPr>
        <w:pStyle w:val="Paragrafoelenco"/>
        <w:numPr>
          <w:ilvl w:val="0"/>
          <w:numId w:val="69"/>
        </w:numPr>
        <w:spacing w:after="160" w:line="256" w:lineRule="auto"/>
        <w:rPr>
          <w:rFonts w:ascii="Times New Roman" w:hAnsi="Times New Roman"/>
          <w:sz w:val="24"/>
          <w:szCs w:val="24"/>
        </w:rPr>
      </w:pPr>
      <w:r w:rsidRPr="00AD0FFB">
        <w:rPr>
          <w:rFonts w:ascii="Times New Roman" w:hAnsi="Times New Roman"/>
          <w:sz w:val="24"/>
          <w:szCs w:val="24"/>
        </w:rPr>
        <w:t>Programma 1.2 : Segreteria generale</w:t>
      </w:r>
    </w:p>
    <w:p w:rsidR="00862710" w:rsidRPr="00AD0FFB" w:rsidRDefault="00862710" w:rsidP="00862710">
      <w:pPr>
        <w:pStyle w:val="Paragrafoelenco"/>
        <w:numPr>
          <w:ilvl w:val="0"/>
          <w:numId w:val="69"/>
        </w:numPr>
        <w:spacing w:after="160" w:line="256" w:lineRule="auto"/>
        <w:rPr>
          <w:rFonts w:ascii="Times New Roman" w:hAnsi="Times New Roman"/>
          <w:sz w:val="24"/>
          <w:szCs w:val="24"/>
        </w:rPr>
      </w:pPr>
      <w:r w:rsidRPr="00AD0FFB">
        <w:rPr>
          <w:rFonts w:ascii="Times New Roman" w:hAnsi="Times New Roman"/>
          <w:sz w:val="24"/>
          <w:szCs w:val="24"/>
        </w:rPr>
        <w:t>Programma 1.10: Risorse umane</w:t>
      </w:r>
    </w:p>
    <w:p w:rsidR="00862710" w:rsidRPr="00AD0FFB" w:rsidRDefault="00862710" w:rsidP="00862710">
      <w:pPr>
        <w:pStyle w:val="Paragrafoelenco"/>
        <w:numPr>
          <w:ilvl w:val="0"/>
          <w:numId w:val="69"/>
        </w:numPr>
        <w:spacing w:after="160" w:line="256" w:lineRule="auto"/>
        <w:rPr>
          <w:rFonts w:ascii="Times New Roman" w:hAnsi="Times New Roman"/>
          <w:sz w:val="24"/>
          <w:szCs w:val="24"/>
        </w:rPr>
      </w:pPr>
      <w:r w:rsidRPr="00AD0FFB">
        <w:rPr>
          <w:rFonts w:ascii="Times New Roman" w:hAnsi="Times New Roman"/>
          <w:sz w:val="24"/>
          <w:szCs w:val="24"/>
        </w:rPr>
        <w:t>Programma 16.1: Sviluppo del settore agricolo e del sistema agroalimentare</w:t>
      </w:r>
    </w:p>
    <w:p w:rsidR="00862710" w:rsidRPr="00AD0FFB" w:rsidRDefault="00862710" w:rsidP="00862710">
      <w:pPr>
        <w:pStyle w:val="Paragrafoelenco"/>
        <w:numPr>
          <w:ilvl w:val="0"/>
          <w:numId w:val="69"/>
        </w:numPr>
        <w:spacing w:after="160" w:line="256" w:lineRule="auto"/>
        <w:rPr>
          <w:rFonts w:ascii="Times New Roman" w:hAnsi="Times New Roman"/>
          <w:sz w:val="24"/>
          <w:szCs w:val="24"/>
        </w:rPr>
      </w:pPr>
      <w:r w:rsidRPr="00AD0FFB">
        <w:rPr>
          <w:rFonts w:ascii="Times New Roman" w:hAnsi="Times New Roman"/>
          <w:sz w:val="24"/>
          <w:szCs w:val="24"/>
        </w:rPr>
        <w:t>Programma 99.1: Servizi per conto terzi - Partite di giro</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Per ogni missione e programma sono stati estrapolati i dati di riferimento dal documento relativo alle spese contenuto nel Rendiconto 2017 (ultimo chiuso al momento della Redazione del Presente Piano) e pubblicato al seguente nel portale della Trasparenza ai seguenti indirizzi: </w:t>
      </w:r>
    </w:p>
    <w:p w:rsidR="00862710" w:rsidRPr="00AD0FFB" w:rsidRDefault="00DB29D6" w:rsidP="00862710">
      <w:pPr>
        <w:pStyle w:val="Paragrafoelenco"/>
        <w:numPr>
          <w:ilvl w:val="0"/>
          <w:numId w:val="68"/>
        </w:numPr>
        <w:spacing w:after="160" w:line="256" w:lineRule="auto"/>
        <w:jc w:val="both"/>
        <w:rPr>
          <w:rFonts w:ascii="Times New Roman" w:hAnsi="Times New Roman"/>
          <w:sz w:val="24"/>
          <w:szCs w:val="24"/>
        </w:rPr>
      </w:pPr>
      <w:hyperlink r:id="rId12" w:history="1">
        <w:r w:rsidR="00862710" w:rsidRPr="00AD0FFB">
          <w:rPr>
            <w:rStyle w:val="Collegamentoipertestuale"/>
            <w:rFonts w:ascii="Times New Roman" w:hAnsi="Times New Roman"/>
            <w:sz w:val="24"/>
            <w:szCs w:val="24"/>
          </w:rPr>
          <w:t>http://trasparenza.arcea.it/tr/13_/01_Bilancio%20Preventivo%20e%20Consuntivo/Bilancio%20Consuntivo/Rendiconto%20Generale%20Esercizio%20Finanziario%202017%20-%20%20SPESE%20(excel%20aperto).xlsx</w:t>
        </w:r>
      </w:hyperlink>
      <w:r w:rsidR="00862710" w:rsidRPr="003C3367">
        <w:rPr>
          <w:rFonts w:ascii="Times New Roman" w:hAnsi="Times New Roman"/>
          <w:sz w:val="24"/>
          <w:szCs w:val="24"/>
        </w:rPr>
        <w:t xml:space="preserve"> (</w:t>
      </w:r>
      <w:proofErr w:type="spellStart"/>
      <w:r w:rsidR="00862710" w:rsidRPr="003C3367">
        <w:rPr>
          <w:rFonts w:ascii="Times New Roman" w:hAnsi="Times New Roman"/>
          <w:sz w:val="24"/>
          <w:szCs w:val="24"/>
        </w:rPr>
        <w:t>excel</w:t>
      </w:r>
      <w:proofErr w:type="spellEnd"/>
      <w:r w:rsidR="00862710" w:rsidRPr="003C3367">
        <w:rPr>
          <w:rFonts w:ascii="Times New Roman" w:hAnsi="Times New Roman"/>
          <w:sz w:val="24"/>
          <w:szCs w:val="24"/>
        </w:rPr>
        <w:t xml:space="preserve"> aperto)</w:t>
      </w:r>
    </w:p>
    <w:p w:rsidR="00862710" w:rsidRPr="00AD0FFB" w:rsidRDefault="00DB29D6" w:rsidP="00862710">
      <w:pPr>
        <w:pStyle w:val="Paragrafoelenco"/>
        <w:numPr>
          <w:ilvl w:val="0"/>
          <w:numId w:val="68"/>
        </w:numPr>
        <w:spacing w:after="160" w:line="256" w:lineRule="auto"/>
        <w:jc w:val="both"/>
        <w:rPr>
          <w:rFonts w:ascii="Times New Roman" w:hAnsi="Times New Roman"/>
          <w:sz w:val="24"/>
          <w:szCs w:val="24"/>
        </w:rPr>
      </w:pPr>
      <w:hyperlink r:id="rId13" w:history="1">
        <w:r w:rsidR="00862710" w:rsidRPr="00AD0FFB">
          <w:rPr>
            <w:rStyle w:val="Collegamentoipertestuale"/>
            <w:rFonts w:ascii="Times New Roman" w:hAnsi="Times New Roman"/>
            <w:sz w:val="24"/>
            <w:szCs w:val="24"/>
          </w:rPr>
          <w:t>http://trasparenza.arcea.it/tr/13_/01_Bilancio%20Preventivo%20e%20Consuntivo/Bilancio%20Consuntivo/Rendiconto%20Generale%20Esercizio%20Finanziario%202017%20-%20%20SPESE%20(pdf%20aperto).pdf</w:t>
        </w:r>
      </w:hyperlink>
      <w:r w:rsidR="00862710" w:rsidRPr="003C3367">
        <w:rPr>
          <w:rFonts w:ascii="Times New Roman" w:hAnsi="Times New Roman"/>
          <w:sz w:val="24"/>
          <w:szCs w:val="24"/>
        </w:rPr>
        <w:t xml:space="preserve"> (pdf aperto)</w:t>
      </w:r>
    </w:p>
    <w:p w:rsidR="00862710" w:rsidRPr="00AD0FFB" w:rsidRDefault="00DB29D6" w:rsidP="00862710">
      <w:pPr>
        <w:pStyle w:val="Paragrafoelenco"/>
        <w:numPr>
          <w:ilvl w:val="0"/>
          <w:numId w:val="68"/>
        </w:numPr>
        <w:spacing w:after="160" w:line="256" w:lineRule="auto"/>
        <w:jc w:val="both"/>
        <w:rPr>
          <w:rFonts w:ascii="Times New Roman" w:hAnsi="Times New Roman"/>
          <w:sz w:val="24"/>
          <w:szCs w:val="24"/>
          <w:lang w:val="en-GB"/>
        </w:rPr>
      </w:pPr>
      <w:hyperlink r:id="rId14" w:history="1">
        <w:r w:rsidR="00862710" w:rsidRPr="00AD0FFB">
          <w:rPr>
            <w:rStyle w:val="Collegamentoipertestuale"/>
            <w:rFonts w:ascii="Times New Roman" w:hAnsi="Times New Roman"/>
            <w:sz w:val="24"/>
            <w:szCs w:val="24"/>
            <w:lang w:val="en-GB"/>
          </w:rPr>
          <w:t>http://trasparenza.arcea.it/tr/13_/01_Bilancio%20Preventivo%20e%20Consuntivo/Bilancio%20Consuntivo/Rendiconto%20Generale%20Esercizio%20Finanziario%202017%20-%20%20SPESE%20(doc%20aperto).doc</w:t>
        </w:r>
      </w:hyperlink>
      <w:r w:rsidR="00862710" w:rsidRPr="003C3367">
        <w:rPr>
          <w:rFonts w:ascii="Times New Roman" w:hAnsi="Times New Roman"/>
          <w:sz w:val="24"/>
          <w:szCs w:val="24"/>
          <w:lang w:val="en-GB"/>
        </w:rPr>
        <w:t xml:space="preserve"> (word </w:t>
      </w:r>
      <w:proofErr w:type="spellStart"/>
      <w:r w:rsidR="00862710" w:rsidRPr="003C3367">
        <w:rPr>
          <w:rFonts w:ascii="Times New Roman" w:hAnsi="Times New Roman"/>
          <w:sz w:val="24"/>
          <w:szCs w:val="24"/>
          <w:lang w:val="en-GB"/>
        </w:rPr>
        <w:t>aperto</w:t>
      </w:r>
      <w:proofErr w:type="spellEnd"/>
      <w:r w:rsidR="00862710" w:rsidRPr="003C3367">
        <w:rPr>
          <w:rFonts w:ascii="Times New Roman" w:hAnsi="Times New Roman"/>
          <w:sz w:val="24"/>
          <w:szCs w:val="24"/>
          <w:lang w:val="en-GB"/>
        </w:rPr>
        <w:t>)</w:t>
      </w:r>
    </w:p>
    <w:p w:rsidR="00862710" w:rsidRPr="003C3367" w:rsidRDefault="00862710" w:rsidP="00862710">
      <w:pPr>
        <w:tabs>
          <w:tab w:val="left" w:pos="287"/>
        </w:tabs>
        <w:spacing w:after="120"/>
        <w:jc w:val="both"/>
        <w:rPr>
          <w:rFonts w:ascii="Times New Roman" w:hAnsi="Times New Roman"/>
          <w:sz w:val="24"/>
          <w:szCs w:val="24"/>
          <w:lang w:val="en-GB"/>
        </w:rPr>
      </w:pPr>
    </w:p>
    <w:tbl>
      <w:tblPr>
        <w:tblpPr w:leftFromText="141" w:rightFromText="141" w:vertAnchor="text" w:horzAnchor="page" w:tblpX="1063" w:tblpY="549"/>
        <w:tblW w:w="5000" w:type="pct"/>
        <w:tblBorders>
          <w:top w:val="single" w:sz="8" w:space="0" w:color="5B9BD5"/>
          <w:bottom w:val="single" w:sz="8" w:space="0" w:color="5B9BD5"/>
        </w:tblBorders>
        <w:tblLook w:val="04A0" w:firstRow="1" w:lastRow="0" w:firstColumn="1" w:lastColumn="0" w:noHBand="0" w:noVBand="1"/>
      </w:tblPr>
      <w:tblGrid>
        <w:gridCol w:w="1194"/>
        <w:gridCol w:w="1860"/>
        <w:gridCol w:w="1913"/>
        <w:gridCol w:w="1692"/>
        <w:gridCol w:w="1585"/>
        <w:gridCol w:w="1468"/>
      </w:tblGrid>
      <w:tr w:rsidR="00862710" w:rsidRPr="00AD0FFB" w:rsidTr="00862710">
        <w:trPr>
          <w:trHeight w:val="264"/>
        </w:trPr>
        <w:tc>
          <w:tcPr>
            <w:tcW w:w="614"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MISURA</w:t>
            </w:r>
          </w:p>
        </w:tc>
        <w:tc>
          <w:tcPr>
            <w:tcW w:w="957"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PROGRAMMA</w:t>
            </w:r>
          </w:p>
        </w:tc>
        <w:tc>
          <w:tcPr>
            <w:tcW w:w="985"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COMPETENZA</w:t>
            </w:r>
          </w:p>
        </w:tc>
        <w:tc>
          <w:tcPr>
            <w:tcW w:w="871"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PAGAMENTI</w:t>
            </w:r>
          </w:p>
        </w:tc>
        <w:tc>
          <w:tcPr>
            <w:tcW w:w="816"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IMPEGNI</w:t>
            </w:r>
          </w:p>
        </w:tc>
        <w:tc>
          <w:tcPr>
            <w:tcW w:w="756"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FPV*</w:t>
            </w:r>
          </w:p>
        </w:tc>
      </w:tr>
      <w:tr w:rsidR="00862710" w:rsidRPr="00AD0FFB" w:rsidTr="00862710">
        <w:trPr>
          <w:trHeight w:val="264"/>
        </w:trPr>
        <w:tc>
          <w:tcPr>
            <w:tcW w:w="614"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c>
          <w:tcPr>
            <w:tcW w:w="957"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1.1</w:t>
            </w:r>
          </w:p>
        </w:tc>
        <w:tc>
          <w:tcPr>
            <w:tcW w:w="985" w:type="pct"/>
            <w:shd w:val="clear" w:color="auto" w:fill="D3DFEE"/>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33.500,00</w:t>
            </w:r>
          </w:p>
        </w:tc>
        <w:tc>
          <w:tcPr>
            <w:tcW w:w="871"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29.046,26</w:t>
            </w:r>
          </w:p>
        </w:tc>
        <w:tc>
          <w:tcPr>
            <w:tcW w:w="81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29.913,74</w:t>
            </w:r>
          </w:p>
        </w:tc>
        <w:tc>
          <w:tcPr>
            <w:tcW w:w="75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0,00</w:t>
            </w:r>
          </w:p>
        </w:tc>
      </w:tr>
      <w:tr w:rsidR="00862710" w:rsidRPr="00AD0FFB" w:rsidTr="00862710">
        <w:trPr>
          <w:trHeight w:val="264"/>
        </w:trPr>
        <w:tc>
          <w:tcPr>
            <w:tcW w:w="614"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957"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1.2</w:t>
            </w:r>
          </w:p>
        </w:tc>
        <w:tc>
          <w:tcPr>
            <w:tcW w:w="985"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331.901,88</w:t>
            </w:r>
          </w:p>
        </w:tc>
        <w:tc>
          <w:tcPr>
            <w:tcW w:w="871"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168.925,94</w:t>
            </w:r>
          </w:p>
        </w:tc>
        <w:tc>
          <w:tcPr>
            <w:tcW w:w="81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168.925,94</w:t>
            </w:r>
          </w:p>
        </w:tc>
        <w:tc>
          <w:tcPr>
            <w:tcW w:w="75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162.852,16</w:t>
            </w:r>
          </w:p>
        </w:tc>
      </w:tr>
      <w:tr w:rsidR="00862710" w:rsidRPr="00AD0FFB" w:rsidTr="00862710">
        <w:trPr>
          <w:trHeight w:val="264"/>
        </w:trPr>
        <w:tc>
          <w:tcPr>
            <w:tcW w:w="614" w:type="pct"/>
            <w:shd w:val="clear" w:color="auto" w:fill="D3DFEE"/>
            <w:noWrap/>
            <w:hideMark/>
          </w:tcPr>
          <w:p w:rsidR="00862710" w:rsidRPr="003C3367" w:rsidRDefault="00862710" w:rsidP="00862710">
            <w:pPr>
              <w:rPr>
                <w:rFonts w:ascii="Times New Roman" w:hAnsi="Times New Roman"/>
                <w:color w:val="000000"/>
                <w:sz w:val="20"/>
                <w:szCs w:val="20"/>
              </w:rPr>
            </w:pPr>
          </w:p>
        </w:tc>
        <w:tc>
          <w:tcPr>
            <w:tcW w:w="957"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1.10</w:t>
            </w:r>
          </w:p>
        </w:tc>
        <w:tc>
          <w:tcPr>
            <w:tcW w:w="985" w:type="pct"/>
            <w:shd w:val="clear" w:color="auto" w:fill="D3DFEE"/>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725.199,33</w:t>
            </w:r>
          </w:p>
        </w:tc>
        <w:tc>
          <w:tcPr>
            <w:tcW w:w="871"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367.338,51</w:t>
            </w:r>
          </w:p>
        </w:tc>
        <w:tc>
          <w:tcPr>
            <w:tcW w:w="81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384.388,12</w:t>
            </w:r>
          </w:p>
        </w:tc>
        <w:tc>
          <w:tcPr>
            <w:tcW w:w="75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322.576,08</w:t>
            </w:r>
          </w:p>
        </w:tc>
      </w:tr>
      <w:tr w:rsidR="00862710" w:rsidRPr="00AD0FFB" w:rsidTr="00862710">
        <w:trPr>
          <w:trHeight w:val="264"/>
        </w:trPr>
        <w:tc>
          <w:tcPr>
            <w:tcW w:w="614"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w:t>
            </w:r>
          </w:p>
        </w:tc>
        <w:tc>
          <w:tcPr>
            <w:tcW w:w="957"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16.1</w:t>
            </w:r>
          </w:p>
        </w:tc>
        <w:tc>
          <w:tcPr>
            <w:tcW w:w="985"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13.866.532,89</w:t>
            </w:r>
          </w:p>
        </w:tc>
        <w:tc>
          <w:tcPr>
            <w:tcW w:w="871"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7.134.738,80</w:t>
            </w:r>
          </w:p>
        </w:tc>
        <w:tc>
          <w:tcPr>
            <w:tcW w:w="81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8.177.373,21</w:t>
            </w:r>
          </w:p>
        </w:tc>
        <w:tc>
          <w:tcPr>
            <w:tcW w:w="75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1.765.454,80</w:t>
            </w:r>
          </w:p>
        </w:tc>
      </w:tr>
      <w:tr w:rsidR="00862710" w:rsidRPr="00AD0FFB" w:rsidTr="00862710">
        <w:trPr>
          <w:trHeight w:val="264"/>
        </w:trPr>
        <w:tc>
          <w:tcPr>
            <w:tcW w:w="614"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99</w:t>
            </w:r>
          </w:p>
        </w:tc>
        <w:tc>
          <w:tcPr>
            <w:tcW w:w="957"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99.1</w:t>
            </w:r>
          </w:p>
        </w:tc>
        <w:tc>
          <w:tcPr>
            <w:tcW w:w="985" w:type="pct"/>
            <w:shd w:val="clear" w:color="auto" w:fill="D3DFEE"/>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17.021.428,56</w:t>
            </w:r>
          </w:p>
        </w:tc>
        <w:tc>
          <w:tcPr>
            <w:tcW w:w="871"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16.200.761,22</w:t>
            </w:r>
          </w:p>
        </w:tc>
        <w:tc>
          <w:tcPr>
            <w:tcW w:w="81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16.190.114,95</w:t>
            </w:r>
          </w:p>
        </w:tc>
        <w:tc>
          <w:tcPr>
            <w:tcW w:w="756"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0,00</w:t>
            </w:r>
          </w:p>
        </w:tc>
      </w:tr>
      <w:tr w:rsidR="00862710" w:rsidRPr="00AD0FFB" w:rsidTr="00862710">
        <w:trPr>
          <w:trHeight w:val="264"/>
        </w:trPr>
        <w:tc>
          <w:tcPr>
            <w:tcW w:w="614"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957"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985"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31.978.562,66</w:t>
            </w:r>
          </w:p>
        </w:tc>
        <w:tc>
          <w:tcPr>
            <w:tcW w:w="871"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23.900.810,73</w:t>
            </w:r>
          </w:p>
        </w:tc>
        <w:tc>
          <w:tcPr>
            <w:tcW w:w="81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24.950.715,96</w:t>
            </w:r>
          </w:p>
        </w:tc>
        <w:tc>
          <w:tcPr>
            <w:tcW w:w="756"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2.250.883,04</w:t>
            </w:r>
          </w:p>
        </w:tc>
      </w:tr>
    </w:tbl>
    <w:p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Dati di sintesi:</w:t>
      </w:r>
    </w:p>
    <w:p w:rsidR="00862710" w:rsidRPr="003C3367" w:rsidRDefault="00862710" w:rsidP="00862710">
      <w:pPr>
        <w:tabs>
          <w:tab w:val="left" w:pos="287"/>
        </w:tabs>
        <w:spacing w:after="120"/>
        <w:jc w:val="both"/>
        <w:rPr>
          <w:rFonts w:ascii="Times New Roman" w:hAnsi="Times New Roman"/>
          <w:sz w:val="24"/>
          <w:szCs w:val="24"/>
        </w:rPr>
      </w:pPr>
    </w:p>
    <w:p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Riepilogo per misura</w:t>
      </w:r>
    </w:p>
    <w:tbl>
      <w:tblPr>
        <w:tblW w:w="5000" w:type="pct"/>
        <w:tblBorders>
          <w:top w:val="single" w:sz="8" w:space="0" w:color="5B9BD5"/>
          <w:bottom w:val="single" w:sz="8" w:space="0" w:color="5B9BD5"/>
        </w:tblBorders>
        <w:tblLook w:val="04A0" w:firstRow="1" w:lastRow="0" w:firstColumn="1" w:lastColumn="0" w:noHBand="0" w:noVBand="1"/>
      </w:tblPr>
      <w:tblGrid>
        <w:gridCol w:w="1359"/>
        <w:gridCol w:w="1845"/>
        <w:gridCol w:w="2370"/>
        <w:gridCol w:w="1797"/>
        <w:gridCol w:w="2341"/>
      </w:tblGrid>
      <w:tr w:rsidR="00862710" w:rsidRPr="00AD0FFB" w:rsidTr="00862710">
        <w:trPr>
          <w:trHeight w:val="300"/>
        </w:trPr>
        <w:tc>
          <w:tcPr>
            <w:tcW w:w="700" w:type="pct"/>
            <w:shd w:val="clear" w:color="auto" w:fill="auto"/>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MISURA</w:t>
            </w:r>
          </w:p>
        </w:tc>
        <w:tc>
          <w:tcPr>
            <w:tcW w:w="950" w:type="pct"/>
            <w:shd w:val="clear" w:color="auto" w:fill="auto"/>
            <w:noWrap/>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PROGRAMMA</w:t>
            </w:r>
          </w:p>
        </w:tc>
        <w:tc>
          <w:tcPr>
            <w:tcW w:w="1220" w:type="pct"/>
            <w:shd w:val="clear" w:color="auto" w:fill="auto"/>
            <w:noWrap/>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COMPETENZA</w:t>
            </w:r>
          </w:p>
        </w:tc>
        <w:tc>
          <w:tcPr>
            <w:tcW w:w="925" w:type="pct"/>
            <w:shd w:val="clear" w:color="auto" w:fill="auto"/>
            <w:noWrap/>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IMPEGNI</w:t>
            </w:r>
          </w:p>
        </w:tc>
        <w:tc>
          <w:tcPr>
            <w:tcW w:w="1205" w:type="pct"/>
            <w:shd w:val="clear" w:color="auto" w:fill="auto"/>
            <w:noWrap/>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FPV</w:t>
            </w:r>
          </w:p>
        </w:tc>
      </w:tr>
      <w:tr w:rsidR="00862710" w:rsidRPr="00AD0FFB" w:rsidTr="00862710">
        <w:trPr>
          <w:trHeight w:val="300"/>
        </w:trPr>
        <w:tc>
          <w:tcPr>
            <w:tcW w:w="700" w:type="pct"/>
            <w:shd w:val="clear" w:color="auto" w:fill="D3DFEE"/>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c>
          <w:tcPr>
            <w:tcW w:w="950" w:type="pct"/>
            <w:shd w:val="clear" w:color="auto" w:fill="D3DFEE"/>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1.090.601,21</w:t>
            </w:r>
          </w:p>
        </w:tc>
        <w:tc>
          <w:tcPr>
            <w:tcW w:w="1220"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565.310,71</w:t>
            </w:r>
          </w:p>
        </w:tc>
        <w:tc>
          <w:tcPr>
            <w:tcW w:w="925"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583.227,80</w:t>
            </w:r>
          </w:p>
        </w:tc>
        <w:tc>
          <w:tcPr>
            <w:tcW w:w="1205"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485.428,24</w:t>
            </w:r>
          </w:p>
        </w:tc>
      </w:tr>
      <w:tr w:rsidR="00862710" w:rsidRPr="00AD0FFB" w:rsidTr="00862710">
        <w:trPr>
          <w:trHeight w:val="300"/>
        </w:trPr>
        <w:tc>
          <w:tcPr>
            <w:tcW w:w="700" w:type="pct"/>
            <w:shd w:val="clear" w:color="auto" w:fill="auto"/>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w:t>
            </w:r>
          </w:p>
        </w:tc>
        <w:tc>
          <w:tcPr>
            <w:tcW w:w="950" w:type="pct"/>
            <w:shd w:val="clear" w:color="auto" w:fill="auto"/>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13.866.532,89</w:t>
            </w:r>
          </w:p>
        </w:tc>
        <w:tc>
          <w:tcPr>
            <w:tcW w:w="1220"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7.134.738,80</w:t>
            </w:r>
          </w:p>
        </w:tc>
        <w:tc>
          <w:tcPr>
            <w:tcW w:w="925"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8.177.373,21</w:t>
            </w:r>
          </w:p>
        </w:tc>
        <w:tc>
          <w:tcPr>
            <w:tcW w:w="1205"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1.765.454,80</w:t>
            </w:r>
          </w:p>
        </w:tc>
      </w:tr>
      <w:tr w:rsidR="00862710" w:rsidRPr="00AD0FFB" w:rsidTr="00862710">
        <w:trPr>
          <w:trHeight w:val="300"/>
        </w:trPr>
        <w:tc>
          <w:tcPr>
            <w:tcW w:w="700" w:type="pct"/>
            <w:shd w:val="clear" w:color="auto" w:fill="D3DFEE"/>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99</w:t>
            </w:r>
          </w:p>
        </w:tc>
        <w:tc>
          <w:tcPr>
            <w:tcW w:w="950" w:type="pct"/>
            <w:shd w:val="clear" w:color="auto" w:fill="D3DFEE"/>
            <w:noWrap/>
            <w:hideMark/>
          </w:tcPr>
          <w:p w:rsidR="00862710" w:rsidRPr="003C3367" w:rsidRDefault="00862710" w:rsidP="00862710">
            <w:pPr>
              <w:jc w:val="center"/>
              <w:rPr>
                <w:rFonts w:ascii="Times New Roman" w:hAnsi="Times New Roman"/>
                <w:color w:val="000000"/>
                <w:sz w:val="20"/>
                <w:szCs w:val="20"/>
              </w:rPr>
            </w:pPr>
            <w:r w:rsidRPr="003C3367">
              <w:rPr>
                <w:rFonts w:ascii="Times New Roman" w:hAnsi="Times New Roman"/>
                <w:color w:val="000000"/>
                <w:sz w:val="20"/>
                <w:szCs w:val="20"/>
              </w:rPr>
              <w:t>17.021.428,56</w:t>
            </w:r>
          </w:p>
        </w:tc>
        <w:tc>
          <w:tcPr>
            <w:tcW w:w="1220"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16.200.761,22</w:t>
            </w:r>
          </w:p>
        </w:tc>
        <w:tc>
          <w:tcPr>
            <w:tcW w:w="925"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16.190.114,95</w:t>
            </w:r>
          </w:p>
        </w:tc>
        <w:tc>
          <w:tcPr>
            <w:tcW w:w="1205"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0,00</w:t>
            </w:r>
          </w:p>
        </w:tc>
      </w:tr>
      <w:tr w:rsidR="00862710" w:rsidRPr="00AD0FFB" w:rsidTr="00862710">
        <w:trPr>
          <w:trHeight w:val="300"/>
        </w:trPr>
        <w:tc>
          <w:tcPr>
            <w:tcW w:w="700" w:type="pct"/>
            <w:shd w:val="clear" w:color="auto" w:fill="auto"/>
          </w:tcPr>
          <w:p w:rsidR="00862710" w:rsidRPr="003C3367" w:rsidRDefault="00862710" w:rsidP="00862710">
            <w:pPr>
              <w:jc w:val="right"/>
              <w:rPr>
                <w:rFonts w:ascii="Times New Roman" w:hAnsi="Times New Roman"/>
                <w:color w:val="000000"/>
                <w:sz w:val="20"/>
                <w:szCs w:val="20"/>
              </w:rPr>
            </w:pPr>
          </w:p>
        </w:tc>
        <w:tc>
          <w:tcPr>
            <w:tcW w:w="950"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1220"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925" w:type="pct"/>
            <w:shd w:val="clear" w:color="auto" w:fill="auto"/>
            <w:noWrap/>
            <w:hideMark/>
          </w:tcPr>
          <w:p w:rsidR="00862710" w:rsidRPr="003C3367" w:rsidRDefault="00862710" w:rsidP="00862710">
            <w:pPr>
              <w:rPr>
                <w:rFonts w:ascii="Times New Roman" w:hAnsi="Times New Roman"/>
                <w:color w:val="000000"/>
                <w:sz w:val="20"/>
                <w:szCs w:val="20"/>
              </w:rPr>
            </w:pPr>
          </w:p>
        </w:tc>
        <w:tc>
          <w:tcPr>
            <w:tcW w:w="1205" w:type="pct"/>
            <w:shd w:val="clear" w:color="auto" w:fill="auto"/>
            <w:noWrap/>
            <w:hideMark/>
          </w:tcPr>
          <w:p w:rsidR="00862710" w:rsidRPr="003C3367" w:rsidRDefault="00862710" w:rsidP="00862710">
            <w:pPr>
              <w:rPr>
                <w:rFonts w:ascii="Times New Roman" w:hAnsi="Times New Roman"/>
                <w:color w:val="000000"/>
                <w:sz w:val="20"/>
                <w:szCs w:val="20"/>
              </w:rPr>
            </w:pPr>
          </w:p>
        </w:tc>
      </w:tr>
    </w:tbl>
    <w:p w:rsidR="00862710" w:rsidRPr="003C3367" w:rsidRDefault="00862710" w:rsidP="00862710">
      <w:pPr>
        <w:tabs>
          <w:tab w:val="left" w:pos="287"/>
        </w:tabs>
        <w:spacing w:after="120"/>
        <w:jc w:val="both"/>
        <w:rPr>
          <w:rFonts w:ascii="Times New Roman" w:hAnsi="Times New Roman"/>
          <w:sz w:val="24"/>
          <w:szCs w:val="24"/>
        </w:rPr>
      </w:pPr>
    </w:p>
    <w:p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2) Suddivisone dei costi per natura</w:t>
      </w:r>
    </w:p>
    <w:p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Le seguenti voci sono estrapolate dai componenti negativi della gestione Rendiconto Generale Esercizio Finanziario 2017 (disponibile al seguente link:</w:t>
      </w:r>
    </w:p>
    <w:p w:rsidR="00862710" w:rsidRPr="003C3367" w:rsidRDefault="00DB29D6" w:rsidP="00862710">
      <w:pPr>
        <w:rPr>
          <w:rFonts w:ascii="Times New Roman" w:hAnsi="Times New Roman"/>
          <w:sz w:val="24"/>
          <w:szCs w:val="24"/>
        </w:rPr>
      </w:pPr>
      <w:hyperlink r:id="rId15" w:history="1">
        <w:r w:rsidR="00862710" w:rsidRPr="003C3367">
          <w:rPr>
            <w:rStyle w:val="Collegamentoipertestuale"/>
            <w:rFonts w:ascii="Times New Roman" w:hAnsi="Times New Roman"/>
            <w:sz w:val="24"/>
            <w:szCs w:val="24"/>
          </w:rPr>
          <w:t>http://trasparenza.arcea.it/tr/13_/01_Bilancio%20Preventivo%20e%20Consuntivo/Bilancio%20Preventivo/BILANCIO%20DI%20PREVISIONE%202017%20-%20DOCUMENTAZIONE%20COMPLETA.pdf</w:t>
        </w:r>
      </w:hyperlink>
      <w:r w:rsidR="00862710" w:rsidRPr="003C3367">
        <w:rPr>
          <w:rFonts w:ascii="Times New Roman" w:hAnsi="Times New Roman"/>
          <w:sz w:val="24"/>
          <w:szCs w:val="24"/>
        </w:rPr>
        <w:t xml:space="preserve"> ,</w:t>
      </w:r>
    </w:p>
    <w:p w:rsidR="00862710" w:rsidRPr="003C3367" w:rsidRDefault="00862710" w:rsidP="00862710">
      <w:pPr>
        <w:spacing w:after="120"/>
        <w:rPr>
          <w:rFonts w:ascii="Times New Roman" w:hAnsi="Times New Roman"/>
          <w:sz w:val="24"/>
          <w:szCs w:val="24"/>
        </w:rPr>
      </w:pPr>
      <w:r w:rsidRPr="003C3367">
        <w:rPr>
          <w:rFonts w:ascii="Times New Roman" w:hAnsi="Times New Roman"/>
          <w:sz w:val="24"/>
          <w:szCs w:val="24"/>
        </w:rPr>
        <w:t xml:space="preserve">si veda pagina 26) </w:t>
      </w: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Le voci sono state ripartite in maniera percentuale rispetto agli obiettivi strategici utilizzando quale fattore di ponderazione il numero di dipendenti complessivo associato ad ognuno. </w:t>
      </w:r>
    </w:p>
    <w:tbl>
      <w:tblPr>
        <w:tblW w:w="10020" w:type="dxa"/>
        <w:tblBorders>
          <w:top w:val="single" w:sz="8" w:space="0" w:color="5B9BD5"/>
          <w:bottom w:val="single" w:sz="8" w:space="0" w:color="5B9BD5"/>
        </w:tblBorders>
        <w:tblLook w:val="04A0" w:firstRow="1" w:lastRow="0" w:firstColumn="1" w:lastColumn="0" w:noHBand="0" w:noVBand="1"/>
      </w:tblPr>
      <w:tblGrid>
        <w:gridCol w:w="7682"/>
        <w:gridCol w:w="2338"/>
      </w:tblGrid>
      <w:tr w:rsidR="00862710" w:rsidRPr="00AD0FFB" w:rsidTr="00862710">
        <w:trPr>
          <w:trHeight w:val="300"/>
        </w:trPr>
        <w:tc>
          <w:tcPr>
            <w:tcW w:w="7682" w:type="dxa"/>
            <w:shd w:val="clear" w:color="auto" w:fill="auto"/>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NATURA DEL COSTO</w:t>
            </w:r>
          </w:p>
        </w:tc>
        <w:tc>
          <w:tcPr>
            <w:tcW w:w="2338" w:type="dxa"/>
            <w:shd w:val="clear" w:color="auto" w:fill="auto"/>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Totale</w:t>
            </w:r>
          </w:p>
        </w:tc>
      </w:tr>
      <w:tr w:rsidR="00862710" w:rsidRPr="00AD0FFB" w:rsidTr="00862710">
        <w:trPr>
          <w:trHeight w:val="300"/>
        </w:trPr>
        <w:tc>
          <w:tcPr>
            <w:tcW w:w="7682" w:type="dxa"/>
            <w:shd w:val="clear" w:color="auto" w:fill="D3DFEE"/>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PERSONALE</w:t>
            </w:r>
          </w:p>
        </w:tc>
        <w:tc>
          <w:tcPr>
            <w:tcW w:w="2338" w:type="dxa"/>
            <w:shd w:val="clear" w:color="auto" w:fill="D3DFEE"/>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2.096.378,99</w:t>
            </w:r>
          </w:p>
        </w:tc>
      </w:tr>
      <w:tr w:rsidR="00862710" w:rsidRPr="00AD0FFB" w:rsidTr="00862710">
        <w:trPr>
          <w:trHeight w:val="300"/>
        </w:trPr>
        <w:tc>
          <w:tcPr>
            <w:tcW w:w="7682" w:type="dxa"/>
            <w:shd w:val="clear" w:color="auto" w:fill="auto"/>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Prestazioni di servizi</w:t>
            </w:r>
          </w:p>
        </w:tc>
        <w:tc>
          <w:tcPr>
            <w:tcW w:w="2338" w:type="dxa"/>
            <w:shd w:val="clear" w:color="auto" w:fill="auto"/>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6.516.183,64</w:t>
            </w:r>
          </w:p>
        </w:tc>
      </w:tr>
      <w:tr w:rsidR="00862710" w:rsidRPr="00AD0FFB" w:rsidTr="00862710">
        <w:trPr>
          <w:trHeight w:val="300"/>
        </w:trPr>
        <w:tc>
          <w:tcPr>
            <w:tcW w:w="7682" w:type="dxa"/>
            <w:shd w:val="clear" w:color="auto" w:fill="D3DFEE"/>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Acquisiti di materie prime e/o beni di consumo</w:t>
            </w:r>
          </w:p>
        </w:tc>
        <w:tc>
          <w:tcPr>
            <w:tcW w:w="2338" w:type="dxa"/>
            <w:shd w:val="clear" w:color="auto" w:fill="D3DFEE"/>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19.495,35</w:t>
            </w:r>
          </w:p>
        </w:tc>
      </w:tr>
      <w:tr w:rsidR="00862710" w:rsidRPr="00AD0FFB" w:rsidTr="00862710">
        <w:trPr>
          <w:trHeight w:val="300"/>
        </w:trPr>
        <w:tc>
          <w:tcPr>
            <w:tcW w:w="7682" w:type="dxa"/>
            <w:shd w:val="clear" w:color="auto" w:fill="auto"/>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Utilizzo di Beni di terzi</w:t>
            </w:r>
          </w:p>
        </w:tc>
        <w:tc>
          <w:tcPr>
            <w:tcW w:w="2338" w:type="dxa"/>
            <w:shd w:val="clear" w:color="auto" w:fill="auto"/>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15.093,96</w:t>
            </w:r>
          </w:p>
        </w:tc>
      </w:tr>
      <w:tr w:rsidR="00862710" w:rsidRPr="00AD0FFB" w:rsidTr="00862710">
        <w:trPr>
          <w:trHeight w:val="300"/>
        </w:trPr>
        <w:tc>
          <w:tcPr>
            <w:tcW w:w="7682" w:type="dxa"/>
            <w:shd w:val="clear" w:color="auto" w:fill="D3DFEE"/>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Oneri diversi di gestione</w:t>
            </w:r>
          </w:p>
        </w:tc>
        <w:tc>
          <w:tcPr>
            <w:tcW w:w="2338" w:type="dxa"/>
            <w:shd w:val="clear" w:color="auto" w:fill="D3DFEE"/>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64.575,79</w:t>
            </w:r>
          </w:p>
        </w:tc>
      </w:tr>
      <w:tr w:rsidR="00862710" w:rsidRPr="00AD0FFB" w:rsidTr="00862710">
        <w:trPr>
          <w:trHeight w:val="300"/>
        </w:trPr>
        <w:tc>
          <w:tcPr>
            <w:tcW w:w="7682" w:type="dxa"/>
            <w:shd w:val="clear" w:color="auto" w:fill="auto"/>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Ammortamenti e svalutazioni</w:t>
            </w:r>
          </w:p>
        </w:tc>
        <w:tc>
          <w:tcPr>
            <w:tcW w:w="2338" w:type="dxa"/>
            <w:shd w:val="clear" w:color="auto" w:fill="auto"/>
            <w:noWrap/>
            <w:vAlign w:val="center"/>
            <w:hideMark/>
          </w:tcPr>
          <w:p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57.239,83</w:t>
            </w:r>
          </w:p>
        </w:tc>
      </w:tr>
    </w:tbl>
    <w:p w:rsidR="00862710" w:rsidRPr="003C3367" w:rsidRDefault="00862710" w:rsidP="00862710">
      <w:pPr>
        <w:tabs>
          <w:tab w:val="left" w:pos="287"/>
        </w:tabs>
        <w:spacing w:after="120"/>
        <w:jc w:val="both"/>
        <w:rPr>
          <w:rFonts w:ascii="Times New Roman" w:hAnsi="Times New Roman"/>
          <w:b/>
          <w:sz w:val="24"/>
          <w:szCs w:val="24"/>
        </w:rPr>
      </w:pPr>
    </w:p>
    <w:p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In tale sede sono riportati solamente i costi associabili alle attività dei centri costo. </w:t>
      </w:r>
    </w:p>
    <w:p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Le differenze tra le due modalità di suddivisione dei costi sono dovute alle partite di giro, alle immobilizzazioni, alle variazioni delle rimanenze che in tale sezione non sono riportate. </w:t>
      </w:r>
    </w:p>
    <w:p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Per ulteriori dettagli si rimanda al Rendiconto Generale per l’anno 2017. </w:t>
      </w:r>
    </w:p>
    <w:p w:rsidR="00862710" w:rsidRPr="003C3367" w:rsidRDefault="00862710" w:rsidP="00862710">
      <w:pPr>
        <w:tabs>
          <w:tab w:val="left" w:pos="287"/>
        </w:tabs>
        <w:spacing w:after="120"/>
        <w:jc w:val="both"/>
        <w:rPr>
          <w:rFonts w:ascii="Times New Roman" w:hAnsi="Times New Roman"/>
          <w:b/>
          <w:sz w:val="24"/>
          <w:szCs w:val="24"/>
        </w:rPr>
      </w:pPr>
    </w:p>
    <w:p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3) Suddivisione dei costi per Centro di Costo</w:t>
      </w:r>
    </w:p>
    <w:p w:rsidR="00862710" w:rsidRPr="003C3367" w:rsidRDefault="00862710" w:rsidP="00862710">
      <w:pPr>
        <w:jc w:val="both"/>
        <w:rPr>
          <w:rFonts w:ascii="Times New Roman" w:hAnsi="Times New Roman"/>
          <w:i/>
          <w:sz w:val="24"/>
          <w:szCs w:val="24"/>
        </w:rPr>
      </w:pPr>
      <w:r w:rsidRPr="003C3367">
        <w:rPr>
          <w:rFonts w:ascii="Times New Roman" w:hAnsi="Times New Roman"/>
          <w:sz w:val="24"/>
          <w:szCs w:val="24"/>
        </w:rPr>
        <w:t xml:space="preserve">Considerata la natura delle entrate e delle uscite dell’ARCEA, fortemente correlata alla sua natura di Organismo Pagatore, si può considerare quale principale discriminante per la suddivisione dei </w:t>
      </w:r>
      <w:r w:rsidRPr="003C3367">
        <w:rPr>
          <w:rFonts w:ascii="Times New Roman" w:hAnsi="Times New Roman"/>
          <w:sz w:val="24"/>
          <w:szCs w:val="24"/>
        </w:rPr>
        <w:lastRenderedPageBreak/>
        <w:t xml:space="preserve">costi l’allocazione del Personale nei Centri di Costo, ossia nelle strutture Dirigenziali, che per il 2016 è così rappresentata: </w:t>
      </w:r>
    </w:p>
    <w:tbl>
      <w:tblPr>
        <w:tblW w:w="5000" w:type="pct"/>
        <w:tblBorders>
          <w:top w:val="single" w:sz="8" w:space="0" w:color="5B9BD5"/>
          <w:bottom w:val="single" w:sz="8" w:space="0" w:color="5B9BD5"/>
        </w:tblBorders>
        <w:tblLook w:val="04A0" w:firstRow="1" w:lastRow="0" w:firstColumn="1" w:lastColumn="0" w:noHBand="0" w:noVBand="1"/>
      </w:tblPr>
      <w:tblGrid>
        <w:gridCol w:w="2540"/>
        <w:gridCol w:w="1832"/>
        <w:gridCol w:w="1803"/>
        <w:gridCol w:w="1814"/>
        <w:gridCol w:w="1723"/>
      </w:tblGrid>
      <w:tr w:rsidR="00862710" w:rsidRPr="00AD0FFB" w:rsidTr="00862710">
        <w:trPr>
          <w:trHeight w:val="300"/>
        </w:trPr>
        <w:tc>
          <w:tcPr>
            <w:tcW w:w="1308"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 Centro di Costo</w:t>
            </w:r>
          </w:p>
        </w:tc>
        <w:tc>
          <w:tcPr>
            <w:tcW w:w="943"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 xml:space="preserve">Dipendenti </w:t>
            </w:r>
          </w:p>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Categoria D</w:t>
            </w:r>
          </w:p>
        </w:tc>
        <w:tc>
          <w:tcPr>
            <w:tcW w:w="928"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 xml:space="preserve">Dipendenti </w:t>
            </w:r>
          </w:p>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Categoria C</w:t>
            </w:r>
          </w:p>
        </w:tc>
        <w:tc>
          <w:tcPr>
            <w:tcW w:w="934"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 xml:space="preserve">Dipendenti </w:t>
            </w:r>
          </w:p>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Categoria B</w:t>
            </w:r>
          </w:p>
        </w:tc>
        <w:tc>
          <w:tcPr>
            <w:tcW w:w="887" w:type="pct"/>
            <w:shd w:val="clear" w:color="auto" w:fill="auto"/>
            <w:noWrap/>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DIRIGENTI</w:t>
            </w:r>
          </w:p>
        </w:tc>
      </w:tr>
      <w:tr w:rsidR="00862710" w:rsidRPr="00AD0FFB" w:rsidTr="00862710">
        <w:trPr>
          <w:trHeight w:val="300"/>
        </w:trPr>
        <w:tc>
          <w:tcPr>
            <w:tcW w:w="1308" w:type="pct"/>
            <w:shd w:val="clear" w:color="auto" w:fill="D3DFEE"/>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Direzione</w:t>
            </w:r>
          </w:p>
        </w:tc>
        <w:tc>
          <w:tcPr>
            <w:tcW w:w="943"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13</w:t>
            </w:r>
          </w:p>
        </w:tc>
        <w:tc>
          <w:tcPr>
            <w:tcW w:w="928"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11</w:t>
            </w:r>
          </w:p>
        </w:tc>
        <w:tc>
          <w:tcPr>
            <w:tcW w:w="934"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4</w:t>
            </w:r>
          </w:p>
        </w:tc>
        <w:tc>
          <w:tcPr>
            <w:tcW w:w="887"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r>
      <w:tr w:rsidR="00862710" w:rsidRPr="00AD0FFB" w:rsidTr="00862710">
        <w:trPr>
          <w:trHeight w:val="255"/>
        </w:trPr>
        <w:tc>
          <w:tcPr>
            <w:tcW w:w="1308" w:type="pct"/>
            <w:shd w:val="clear" w:color="auto" w:fill="auto"/>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Autorizzazione dei Pagamenti</w:t>
            </w:r>
          </w:p>
        </w:tc>
        <w:tc>
          <w:tcPr>
            <w:tcW w:w="943"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4</w:t>
            </w:r>
          </w:p>
        </w:tc>
        <w:tc>
          <w:tcPr>
            <w:tcW w:w="928"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4</w:t>
            </w:r>
          </w:p>
        </w:tc>
        <w:tc>
          <w:tcPr>
            <w:tcW w:w="934"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c>
          <w:tcPr>
            <w:tcW w:w="887"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r>
      <w:tr w:rsidR="00862710" w:rsidRPr="00AD0FFB" w:rsidTr="00862710">
        <w:trPr>
          <w:trHeight w:val="286"/>
        </w:trPr>
        <w:tc>
          <w:tcPr>
            <w:tcW w:w="1308" w:type="pct"/>
            <w:shd w:val="clear" w:color="auto" w:fill="D3DFEE"/>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Esecuzione dei Pagamenti</w:t>
            </w:r>
          </w:p>
        </w:tc>
        <w:tc>
          <w:tcPr>
            <w:tcW w:w="943"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c>
          <w:tcPr>
            <w:tcW w:w="928"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c>
          <w:tcPr>
            <w:tcW w:w="934"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w:t>
            </w:r>
          </w:p>
        </w:tc>
        <w:tc>
          <w:tcPr>
            <w:tcW w:w="887" w:type="pct"/>
            <w:shd w:val="clear" w:color="auto" w:fill="D3DFEE"/>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w:t>
            </w:r>
          </w:p>
        </w:tc>
      </w:tr>
      <w:tr w:rsidR="00862710" w:rsidRPr="00AD0FFB" w:rsidTr="00862710">
        <w:trPr>
          <w:trHeight w:val="277"/>
        </w:trPr>
        <w:tc>
          <w:tcPr>
            <w:tcW w:w="1308" w:type="pct"/>
            <w:shd w:val="clear" w:color="auto" w:fill="auto"/>
            <w:hideMark/>
          </w:tcPr>
          <w:p w:rsidR="00862710" w:rsidRPr="003C3367" w:rsidRDefault="00862710" w:rsidP="00862710">
            <w:pPr>
              <w:rPr>
                <w:rFonts w:ascii="Times New Roman" w:hAnsi="Times New Roman"/>
                <w:color w:val="000000"/>
                <w:sz w:val="20"/>
                <w:szCs w:val="20"/>
              </w:rPr>
            </w:pPr>
            <w:r w:rsidRPr="003C3367">
              <w:rPr>
                <w:rFonts w:ascii="Times New Roman" w:hAnsi="Times New Roman"/>
                <w:color w:val="000000"/>
                <w:sz w:val="20"/>
                <w:szCs w:val="20"/>
              </w:rPr>
              <w:t>Contabilizzazione</w:t>
            </w:r>
          </w:p>
        </w:tc>
        <w:tc>
          <w:tcPr>
            <w:tcW w:w="943"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5</w:t>
            </w:r>
          </w:p>
        </w:tc>
        <w:tc>
          <w:tcPr>
            <w:tcW w:w="928"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3</w:t>
            </w:r>
          </w:p>
        </w:tc>
        <w:tc>
          <w:tcPr>
            <w:tcW w:w="934"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0</w:t>
            </w:r>
          </w:p>
        </w:tc>
        <w:tc>
          <w:tcPr>
            <w:tcW w:w="887" w:type="pct"/>
            <w:shd w:val="clear" w:color="auto" w:fill="auto"/>
            <w:noWrap/>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w:t>
            </w:r>
          </w:p>
        </w:tc>
      </w:tr>
    </w:tbl>
    <w:p w:rsidR="00862710" w:rsidRPr="003C3367" w:rsidRDefault="00862710" w:rsidP="00862710">
      <w:pPr>
        <w:rPr>
          <w:rFonts w:ascii="Times New Roman" w:hAnsi="Times New Roman"/>
          <w:sz w:val="24"/>
          <w:szCs w:val="24"/>
        </w:rPr>
      </w:pPr>
    </w:p>
    <w:p w:rsidR="00862710" w:rsidRPr="003C3367" w:rsidRDefault="00862710" w:rsidP="00862710">
      <w:pPr>
        <w:rPr>
          <w:rFonts w:ascii="Times New Roman" w:hAnsi="Times New Roman"/>
          <w:sz w:val="24"/>
          <w:szCs w:val="24"/>
        </w:rPr>
      </w:pP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Viene di seguito indicata una suddivisione dei costi per centri di costo: </w:t>
      </w:r>
    </w:p>
    <w:p w:rsidR="00862710" w:rsidRPr="003C3367" w:rsidRDefault="00862710" w:rsidP="00862710">
      <w:pPr>
        <w:rPr>
          <w:rFonts w:ascii="Times New Roman" w:hAnsi="Times New Roman"/>
          <w:sz w:val="24"/>
          <w:szCs w:val="24"/>
        </w:rPr>
      </w:pPr>
    </w:p>
    <w:p w:rsidR="00862710" w:rsidRPr="00AD0FFB" w:rsidRDefault="00862710" w:rsidP="00862710">
      <w:pPr>
        <w:pStyle w:val="Paragrafoelenco"/>
        <w:numPr>
          <w:ilvl w:val="0"/>
          <w:numId w:val="70"/>
        </w:numPr>
        <w:spacing w:after="160" w:line="256" w:lineRule="auto"/>
        <w:rPr>
          <w:rFonts w:ascii="Times New Roman" w:hAnsi="Times New Roman"/>
          <w:sz w:val="24"/>
          <w:szCs w:val="24"/>
        </w:rPr>
      </w:pPr>
      <w:r w:rsidRPr="003C3367">
        <w:rPr>
          <w:rFonts w:ascii="Times New Roman" w:hAnsi="Times New Roman"/>
          <w:sz w:val="24"/>
          <w:szCs w:val="24"/>
        </w:rPr>
        <w:t xml:space="preserve">suddivisone in base alla natura dei costi </w:t>
      </w:r>
    </w:p>
    <w:p w:rsidR="00862710" w:rsidRPr="003C3367" w:rsidRDefault="00862710" w:rsidP="00862710">
      <w:pP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3700"/>
        <w:gridCol w:w="1079"/>
        <w:gridCol w:w="1079"/>
        <w:gridCol w:w="985"/>
        <w:gridCol w:w="1501"/>
        <w:gridCol w:w="1292"/>
      </w:tblGrid>
      <w:tr w:rsidR="00862710" w:rsidRPr="00AD0FFB" w:rsidTr="00862710">
        <w:trPr>
          <w:trHeight w:val="320"/>
        </w:trPr>
        <w:tc>
          <w:tcPr>
            <w:tcW w:w="1164"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rPr>
                <w:rFonts w:ascii="Times New Roman" w:hAnsi="Times New Roman"/>
                <w:sz w:val="20"/>
                <w:szCs w:val="20"/>
              </w:rPr>
            </w:pPr>
            <w:r w:rsidRPr="003C3367">
              <w:rPr>
                <w:rFonts w:ascii="Times New Roman" w:hAnsi="Times New Roman"/>
                <w:sz w:val="20"/>
                <w:szCs w:val="20"/>
              </w:rPr>
              <w:t> </w:t>
            </w:r>
          </w:p>
        </w:tc>
        <w:tc>
          <w:tcPr>
            <w:tcW w:w="702"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Totale</w:t>
            </w:r>
          </w:p>
        </w:tc>
        <w:tc>
          <w:tcPr>
            <w:tcW w:w="770"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Direzione</w:t>
            </w:r>
          </w:p>
        </w:tc>
        <w:tc>
          <w:tcPr>
            <w:tcW w:w="819"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Esecuzione</w:t>
            </w:r>
          </w:p>
        </w:tc>
        <w:tc>
          <w:tcPr>
            <w:tcW w:w="942"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Contabilizzazione</w:t>
            </w:r>
          </w:p>
        </w:tc>
        <w:tc>
          <w:tcPr>
            <w:tcW w:w="603"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Autorizzazione</w:t>
            </w:r>
          </w:p>
        </w:tc>
      </w:tr>
      <w:tr w:rsidR="00862710" w:rsidRPr="00AD0FFB" w:rsidTr="00862710">
        <w:trPr>
          <w:trHeight w:val="300"/>
        </w:trPr>
        <w:tc>
          <w:tcPr>
            <w:tcW w:w="1164"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PERSONALE</w:t>
            </w:r>
          </w:p>
        </w:tc>
        <w:tc>
          <w:tcPr>
            <w:tcW w:w="70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2.096.378,99</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1.197.930,85</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74.870,68</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336.918,05</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486.659,41</w:t>
            </w:r>
          </w:p>
        </w:tc>
      </w:tr>
      <w:tr w:rsidR="00862710" w:rsidRPr="00AD0FFB" w:rsidTr="00862710">
        <w:trPr>
          <w:trHeight w:val="300"/>
        </w:trPr>
        <w:tc>
          <w:tcPr>
            <w:tcW w:w="1164"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Prestazioni di servizi</w:t>
            </w:r>
          </w:p>
        </w:tc>
        <w:tc>
          <w:tcPr>
            <w:tcW w:w="702"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6.516.183,64</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3.723.533,51</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232.720,84</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1.047.243,80</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1.512.685,49</w:t>
            </w:r>
          </w:p>
        </w:tc>
      </w:tr>
      <w:tr w:rsidR="00862710" w:rsidRPr="00AD0FFB" w:rsidTr="00862710">
        <w:trPr>
          <w:trHeight w:val="300"/>
        </w:trPr>
        <w:tc>
          <w:tcPr>
            <w:tcW w:w="1164"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Acquisiti di materie prime e/o beni di consumo</w:t>
            </w:r>
          </w:p>
        </w:tc>
        <w:tc>
          <w:tcPr>
            <w:tcW w:w="70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19.495,35</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11.140,20</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696,26</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3.133,18</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4.525,71</w:t>
            </w:r>
          </w:p>
        </w:tc>
      </w:tr>
      <w:tr w:rsidR="00862710" w:rsidRPr="00AD0FFB" w:rsidTr="00862710">
        <w:trPr>
          <w:trHeight w:val="300"/>
        </w:trPr>
        <w:tc>
          <w:tcPr>
            <w:tcW w:w="1164"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Utilizzo di Beni di terzi</w:t>
            </w:r>
          </w:p>
        </w:tc>
        <w:tc>
          <w:tcPr>
            <w:tcW w:w="702"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15.093,96</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8.625,12</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539,07</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2.425,82</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3.503,96</w:t>
            </w:r>
          </w:p>
        </w:tc>
      </w:tr>
      <w:tr w:rsidR="00862710" w:rsidRPr="00AD0FFB" w:rsidTr="00862710">
        <w:trPr>
          <w:trHeight w:val="300"/>
        </w:trPr>
        <w:tc>
          <w:tcPr>
            <w:tcW w:w="1164"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Oneri diversi di gestione</w:t>
            </w:r>
          </w:p>
        </w:tc>
        <w:tc>
          <w:tcPr>
            <w:tcW w:w="70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64.575,79</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36.900,45</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2.306,28</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10.378,25</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14.990,81</w:t>
            </w:r>
          </w:p>
        </w:tc>
      </w:tr>
      <w:tr w:rsidR="00862710" w:rsidRPr="00AD0FFB" w:rsidTr="00862710">
        <w:trPr>
          <w:trHeight w:val="300"/>
        </w:trPr>
        <w:tc>
          <w:tcPr>
            <w:tcW w:w="1164"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Ammortamenti e svalutazioni</w:t>
            </w:r>
          </w:p>
        </w:tc>
        <w:tc>
          <w:tcPr>
            <w:tcW w:w="702" w:type="pct"/>
            <w:tcBorders>
              <w:top w:val="nil"/>
              <w:left w:val="nil"/>
              <w:bottom w:val="nil"/>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57.239,83</w:t>
            </w:r>
          </w:p>
        </w:tc>
        <w:tc>
          <w:tcPr>
            <w:tcW w:w="77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32.708,47</w:t>
            </w:r>
          </w:p>
        </w:tc>
        <w:tc>
          <w:tcPr>
            <w:tcW w:w="819"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2.044,28</w:t>
            </w:r>
          </w:p>
        </w:tc>
        <w:tc>
          <w:tcPr>
            <w:tcW w:w="942"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9.199,26</w:t>
            </w:r>
          </w:p>
        </w:tc>
        <w:tc>
          <w:tcPr>
            <w:tcW w:w="60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13.287,82</w:t>
            </w:r>
          </w:p>
        </w:tc>
      </w:tr>
      <w:tr w:rsidR="00862710" w:rsidRPr="00AD0FFB" w:rsidTr="00862710">
        <w:trPr>
          <w:trHeight w:val="320"/>
        </w:trPr>
        <w:tc>
          <w:tcPr>
            <w:tcW w:w="1164"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rPr>
                <w:rFonts w:ascii="Times New Roman" w:hAnsi="Times New Roman"/>
                <w:sz w:val="20"/>
                <w:szCs w:val="20"/>
              </w:rPr>
            </w:pPr>
            <w:r w:rsidRPr="003C3367">
              <w:rPr>
                <w:rFonts w:ascii="Times New Roman" w:hAnsi="Times New Roman"/>
                <w:sz w:val="20"/>
                <w:szCs w:val="20"/>
              </w:rPr>
              <w:t> </w:t>
            </w:r>
          </w:p>
        </w:tc>
        <w:tc>
          <w:tcPr>
            <w:tcW w:w="702"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rPr>
                <w:rFonts w:ascii="Times New Roman" w:hAnsi="Times New Roman"/>
                <w:sz w:val="20"/>
                <w:szCs w:val="20"/>
              </w:rPr>
            </w:pPr>
            <w:r w:rsidRPr="003C3367">
              <w:rPr>
                <w:rFonts w:ascii="Times New Roman" w:hAnsi="Times New Roman"/>
                <w:sz w:val="20"/>
                <w:szCs w:val="20"/>
              </w:rPr>
              <w:t> </w:t>
            </w:r>
          </w:p>
        </w:tc>
        <w:tc>
          <w:tcPr>
            <w:tcW w:w="770"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5.010.838,61</w:t>
            </w:r>
          </w:p>
        </w:tc>
        <w:tc>
          <w:tcPr>
            <w:tcW w:w="819"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313.177,41</w:t>
            </w:r>
          </w:p>
        </w:tc>
        <w:tc>
          <w:tcPr>
            <w:tcW w:w="942"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1.409.298,36</w:t>
            </w:r>
          </w:p>
        </w:tc>
        <w:tc>
          <w:tcPr>
            <w:tcW w:w="603" w:type="pct"/>
            <w:tcBorders>
              <w:top w:val="nil"/>
              <w:left w:val="nil"/>
              <w:bottom w:val="single" w:sz="8" w:space="0" w:color="5B9BD5"/>
              <w:right w:val="nil"/>
            </w:tcBorders>
            <w:shd w:val="clear" w:color="000000" w:fill="D6E6F4"/>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2.035.653,18</w:t>
            </w:r>
          </w:p>
        </w:tc>
      </w:tr>
    </w:tbl>
    <w:p w:rsidR="00862710" w:rsidRPr="003C3367" w:rsidRDefault="00862710" w:rsidP="00862710">
      <w:pPr>
        <w:jc w:val="center"/>
        <w:rPr>
          <w:rFonts w:ascii="Times New Roman" w:hAnsi="Times New Roman"/>
          <w:sz w:val="24"/>
          <w:szCs w:val="24"/>
        </w:rPr>
      </w:pPr>
    </w:p>
    <w:p w:rsidR="00862710" w:rsidRPr="003C3367" w:rsidRDefault="00862710" w:rsidP="00862710">
      <w:pPr>
        <w:jc w:val="center"/>
        <w:rPr>
          <w:rFonts w:ascii="Times New Roman" w:hAnsi="Times New Roman"/>
          <w:sz w:val="24"/>
          <w:szCs w:val="24"/>
        </w:rPr>
      </w:pPr>
      <w:r w:rsidRPr="003C3367">
        <w:rPr>
          <w:rFonts w:ascii="Times New Roman" w:hAnsi="Times New Roman"/>
          <w:noProof/>
          <w:sz w:val="24"/>
          <w:szCs w:val="24"/>
          <w:lang w:eastAsia="it-IT"/>
        </w:rPr>
        <w:lastRenderedPageBreak/>
        <w:drawing>
          <wp:inline distT="0" distB="0" distL="0" distR="0" wp14:anchorId="01CF875C" wp14:editId="11887B63">
            <wp:extent cx="4567555" cy="2738755"/>
            <wp:effectExtent l="0" t="0" r="29845" b="29845"/>
            <wp:docPr id="4" name="Gra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2710" w:rsidRPr="003C3367" w:rsidRDefault="00862710" w:rsidP="00862710">
      <w:pPr>
        <w:jc w:val="center"/>
        <w:rPr>
          <w:rFonts w:ascii="Times New Roman" w:hAnsi="Times New Roman"/>
          <w:sz w:val="24"/>
          <w:szCs w:val="24"/>
        </w:rPr>
      </w:pPr>
    </w:p>
    <w:p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b) suddivisione in base alla finalità dei costi </w:t>
      </w:r>
    </w:p>
    <w:p w:rsidR="00862710" w:rsidRPr="003C3367" w:rsidRDefault="00862710" w:rsidP="00862710">
      <w:pP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512"/>
        <w:gridCol w:w="1529"/>
        <w:gridCol w:w="1190"/>
        <w:gridCol w:w="1190"/>
        <w:gridCol w:w="1123"/>
        <w:gridCol w:w="1663"/>
        <w:gridCol w:w="1429"/>
      </w:tblGrid>
      <w:tr w:rsidR="00862710" w:rsidRPr="00AD0FFB" w:rsidTr="00862710">
        <w:trPr>
          <w:trHeight w:val="320"/>
        </w:trPr>
        <w:tc>
          <w:tcPr>
            <w:tcW w:w="932" w:type="pct"/>
            <w:tcBorders>
              <w:top w:val="single" w:sz="8" w:space="0" w:color="4F81BD"/>
              <w:left w:val="nil"/>
              <w:bottom w:val="single" w:sz="8" w:space="0" w:color="4F81BD"/>
              <w:right w:val="nil"/>
            </w:tcBorders>
            <w:shd w:val="clear" w:color="auto" w:fill="auto"/>
            <w:noWrap/>
            <w:vAlign w:val="center"/>
            <w:hideMark/>
          </w:tcPr>
          <w:p w:rsidR="00862710" w:rsidRPr="003C3367" w:rsidRDefault="00862710" w:rsidP="00862710">
            <w:pPr>
              <w:jc w:val="center"/>
              <w:rPr>
                <w:rFonts w:ascii="Times New Roman" w:hAnsi="Times New Roman"/>
                <w:b/>
                <w:bCs/>
                <w:color w:val="000000"/>
                <w:sz w:val="20"/>
                <w:szCs w:val="20"/>
              </w:rPr>
            </w:pPr>
            <w:r w:rsidRPr="003C3367">
              <w:rPr>
                <w:rFonts w:ascii="Times New Roman" w:hAnsi="Times New Roman"/>
                <w:b/>
                <w:bCs/>
                <w:color w:val="000000"/>
                <w:sz w:val="20"/>
                <w:szCs w:val="20"/>
              </w:rPr>
              <w:t>MISURA</w:t>
            </w:r>
          </w:p>
        </w:tc>
        <w:tc>
          <w:tcPr>
            <w:tcW w:w="711" w:type="pct"/>
            <w:tcBorders>
              <w:top w:val="single" w:sz="8" w:space="0" w:color="4F81BD"/>
              <w:left w:val="nil"/>
              <w:bottom w:val="single" w:sz="8" w:space="0" w:color="4F81BD"/>
              <w:right w:val="nil"/>
            </w:tcBorders>
            <w:shd w:val="clear" w:color="auto" w:fill="auto"/>
            <w:noWrap/>
            <w:vAlign w:val="center"/>
            <w:hideMark/>
          </w:tcPr>
          <w:p w:rsidR="00862710" w:rsidRPr="003C3367" w:rsidRDefault="00862710" w:rsidP="00862710">
            <w:pPr>
              <w:jc w:val="center"/>
              <w:rPr>
                <w:rFonts w:ascii="Times New Roman" w:hAnsi="Times New Roman"/>
                <w:b/>
                <w:bCs/>
                <w:color w:val="000000"/>
                <w:sz w:val="20"/>
                <w:szCs w:val="20"/>
              </w:rPr>
            </w:pPr>
            <w:r w:rsidRPr="003C3367">
              <w:rPr>
                <w:rFonts w:ascii="Times New Roman" w:hAnsi="Times New Roman"/>
                <w:b/>
                <w:bCs/>
                <w:color w:val="000000"/>
                <w:sz w:val="20"/>
                <w:szCs w:val="20"/>
              </w:rPr>
              <w:t>PROGRAMMA</w:t>
            </w:r>
          </w:p>
        </w:tc>
        <w:tc>
          <w:tcPr>
            <w:tcW w:w="572" w:type="pct"/>
            <w:tcBorders>
              <w:top w:val="single" w:sz="8" w:space="0" w:color="4F81BD"/>
              <w:left w:val="nil"/>
              <w:bottom w:val="single" w:sz="8" w:space="0" w:color="4F81BD"/>
              <w:right w:val="nil"/>
            </w:tcBorders>
            <w:shd w:val="clear" w:color="auto" w:fill="auto"/>
            <w:noWrap/>
            <w:vAlign w:val="center"/>
            <w:hideMark/>
          </w:tcPr>
          <w:p w:rsidR="00862710" w:rsidRPr="003C3367" w:rsidRDefault="00862710" w:rsidP="00862710">
            <w:pPr>
              <w:jc w:val="center"/>
              <w:rPr>
                <w:rFonts w:ascii="Times New Roman" w:hAnsi="Times New Roman"/>
                <w:b/>
                <w:bCs/>
                <w:color w:val="000000"/>
                <w:sz w:val="20"/>
                <w:szCs w:val="20"/>
              </w:rPr>
            </w:pPr>
            <w:r w:rsidRPr="003C3367">
              <w:rPr>
                <w:rFonts w:ascii="Times New Roman" w:hAnsi="Times New Roman"/>
                <w:b/>
                <w:bCs/>
                <w:color w:val="000000"/>
                <w:sz w:val="20"/>
                <w:szCs w:val="20"/>
              </w:rPr>
              <w:t>TOTALE</w:t>
            </w:r>
          </w:p>
        </w:tc>
        <w:tc>
          <w:tcPr>
            <w:tcW w:w="617"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Direzione</w:t>
            </w:r>
          </w:p>
        </w:tc>
        <w:tc>
          <w:tcPr>
            <w:tcW w:w="730"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Esecuzione</w:t>
            </w:r>
          </w:p>
        </w:tc>
        <w:tc>
          <w:tcPr>
            <w:tcW w:w="773"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Contabilizzazione</w:t>
            </w:r>
          </w:p>
        </w:tc>
        <w:tc>
          <w:tcPr>
            <w:tcW w:w="665" w:type="pct"/>
            <w:tcBorders>
              <w:top w:val="single" w:sz="8" w:space="0" w:color="5B9BD5"/>
              <w:left w:val="nil"/>
              <w:bottom w:val="single" w:sz="8" w:space="0" w:color="5B9BD5"/>
              <w:right w:val="nil"/>
            </w:tcBorders>
            <w:shd w:val="clear" w:color="auto" w:fill="auto"/>
            <w:noWrap/>
            <w:vAlign w:val="center"/>
            <w:hideMark/>
          </w:tcPr>
          <w:p w:rsidR="00862710" w:rsidRPr="003C3367" w:rsidRDefault="00862710" w:rsidP="00862710">
            <w:pPr>
              <w:jc w:val="center"/>
              <w:rPr>
                <w:rFonts w:ascii="Times New Roman" w:hAnsi="Times New Roman"/>
                <w:b/>
                <w:bCs/>
                <w:sz w:val="20"/>
                <w:szCs w:val="20"/>
              </w:rPr>
            </w:pPr>
            <w:r w:rsidRPr="003C3367">
              <w:rPr>
                <w:rFonts w:ascii="Times New Roman" w:hAnsi="Times New Roman"/>
                <w:b/>
                <w:bCs/>
                <w:sz w:val="20"/>
                <w:szCs w:val="20"/>
              </w:rPr>
              <w:t>Autorizzazione</w:t>
            </w:r>
          </w:p>
        </w:tc>
      </w:tr>
      <w:tr w:rsidR="00862710" w:rsidRPr="00AD0FFB" w:rsidTr="00862710">
        <w:trPr>
          <w:trHeight w:val="300"/>
        </w:trPr>
        <w:tc>
          <w:tcPr>
            <w:tcW w:w="932" w:type="pct"/>
            <w:tcBorders>
              <w:top w:val="nil"/>
              <w:left w:val="nil"/>
              <w:bottom w:val="nil"/>
              <w:right w:val="nil"/>
            </w:tcBorders>
            <w:shd w:val="clear" w:color="000000" w:fill="D3DFEE"/>
            <w:noWrap/>
            <w:vAlign w:val="center"/>
            <w:hideMark/>
          </w:tcPr>
          <w:p w:rsidR="00862710" w:rsidRPr="003C3367" w:rsidRDefault="00862710" w:rsidP="00862710">
            <w:pPr>
              <w:jc w:val="right"/>
              <w:rPr>
                <w:rFonts w:ascii="Times New Roman" w:hAnsi="Times New Roman"/>
                <w:b/>
                <w:bCs/>
                <w:color w:val="000000"/>
                <w:sz w:val="20"/>
                <w:szCs w:val="20"/>
              </w:rPr>
            </w:pPr>
            <w:r w:rsidRPr="003C3367">
              <w:rPr>
                <w:rFonts w:ascii="Times New Roman" w:hAnsi="Times New Roman"/>
                <w:b/>
                <w:bCs/>
                <w:color w:val="000000"/>
                <w:sz w:val="20"/>
                <w:szCs w:val="20"/>
              </w:rPr>
              <w:t>1</w:t>
            </w:r>
          </w:p>
        </w:tc>
        <w:tc>
          <w:tcPr>
            <w:tcW w:w="711" w:type="pct"/>
            <w:tcBorders>
              <w:top w:val="nil"/>
              <w:left w:val="nil"/>
              <w:bottom w:val="nil"/>
              <w:right w:val="nil"/>
            </w:tcBorders>
            <w:shd w:val="clear" w:color="000000" w:fill="D3DFEE"/>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1.1</w:t>
            </w:r>
          </w:p>
        </w:tc>
        <w:tc>
          <w:tcPr>
            <w:tcW w:w="572" w:type="pct"/>
            <w:tcBorders>
              <w:top w:val="nil"/>
              <w:left w:val="nil"/>
              <w:bottom w:val="nil"/>
              <w:right w:val="nil"/>
            </w:tcBorders>
            <w:shd w:val="clear" w:color="000000" w:fill="D3DFEE"/>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29.913,74</w:t>
            </w:r>
          </w:p>
        </w:tc>
        <w:tc>
          <w:tcPr>
            <w:tcW w:w="617"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17.093,57</w:t>
            </w:r>
          </w:p>
        </w:tc>
        <w:tc>
          <w:tcPr>
            <w:tcW w:w="73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1.068,35</w:t>
            </w:r>
          </w:p>
        </w:tc>
        <w:tc>
          <w:tcPr>
            <w:tcW w:w="77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4.807,57</w:t>
            </w:r>
          </w:p>
        </w:tc>
        <w:tc>
          <w:tcPr>
            <w:tcW w:w="665"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6.944,26</w:t>
            </w:r>
          </w:p>
        </w:tc>
      </w:tr>
      <w:tr w:rsidR="00862710" w:rsidRPr="00AD0FFB" w:rsidTr="00862710">
        <w:trPr>
          <w:trHeight w:val="300"/>
        </w:trPr>
        <w:tc>
          <w:tcPr>
            <w:tcW w:w="932" w:type="pct"/>
            <w:tcBorders>
              <w:top w:val="nil"/>
              <w:left w:val="nil"/>
              <w:bottom w:val="nil"/>
              <w:right w:val="nil"/>
            </w:tcBorders>
            <w:shd w:val="clear" w:color="auto" w:fill="auto"/>
            <w:noWrap/>
            <w:hideMark/>
          </w:tcPr>
          <w:p w:rsidR="00862710" w:rsidRPr="003C3367" w:rsidRDefault="00862710" w:rsidP="00862710">
            <w:pPr>
              <w:rPr>
                <w:rFonts w:ascii="Times New Roman" w:hAnsi="Times New Roman"/>
                <w:color w:val="000000"/>
                <w:sz w:val="20"/>
                <w:szCs w:val="20"/>
              </w:rPr>
            </w:pPr>
          </w:p>
        </w:tc>
        <w:tc>
          <w:tcPr>
            <w:tcW w:w="711" w:type="pct"/>
            <w:tcBorders>
              <w:top w:val="nil"/>
              <w:left w:val="nil"/>
              <w:bottom w:val="nil"/>
              <w:right w:val="nil"/>
            </w:tcBorders>
            <w:shd w:val="clear" w:color="auto" w:fill="auto"/>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1.2</w:t>
            </w:r>
          </w:p>
        </w:tc>
        <w:tc>
          <w:tcPr>
            <w:tcW w:w="572" w:type="pct"/>
            <w:tcBorders>
              <w:top w:val="nil"/>
              <w:left w:val="nil"/>
              <w:bottom w:val="nil"/>
              <w:right w:val="nil"/>
            </w:tcBorders>
            <w:shd w:val="clear" w:color="auto" w:fill="auto"/>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168.925,94</w:t>
            </w:r>
          </w:p>
        </w:tc>
        <w:tc>
          <w:tcPr>
            <w:tcW w:w="617"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96.529,11</w:t>
            </w:r>
          </w:p>
        </w:tc>
        <w:tc>
          <w:tcPr>
            <w:tcW w:w="73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6.033,07</w:t>
            </w:r>
          </w:p>
        </w:tc>
        <w:tc>
          <w:tcPr>
            <w:tcW w:w="77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27.148,81</w:t>
            </w:r>
          </w:p>
        </w:tc>
        <w:tc>
          <w:tcPr>
            <w:tcW w:w="665"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39.214,95</w:t>
            </w:r>
          </w:p>
        </w:tc>
      </w:tr>
      <w:tr w:rsidR="00862710" w:rsidRPr="00AD0FFB" w:rsidTr="00862710">
        <w:trPr>
          <w:trHeight w:val="300"/>
        </w:trPr>
        <w:tc>
          <w:tcPr>
            <w:tcW w:w="932" w:type="pct"/>
            <w:tcBorders>
              <w:top w:val="nil"/>
              <w:left w:val="nil"/>
              <w:bottom w:val="nil"/>
              <w:right w:val="nil"/>
            </w:tcBorders>
            <w:shd w:val="clear" w:color="000000" w:fill="D3DFEE"/>
            <w:noWrap/>
            <w:vAlign w:val="center"/>
            <w:hideMark/>
          </w:tcPr>
          <w:p w:rsidR="00862710" w:rsidRPr="003C3367" w:rsidRDefault="00862710" w:rsidP="00862710">
            <w:pPr>
              <w:rPr>
                <w:rFonts w:ascii="Times New Roman" w:hAnsi="Times New Roman"/>
                <w:color w:val="365F91"/>
                <w:sz w:val="20"/>
                <w:szCs w:val="20"/>
              </w:rPr>
            </w:pPr>
            <w:r w:rsidRPr="003C3367">
              <w:rPr>
                <w:rFonts w:ascii="Times New Roman" w:hAnsi="Times New Roman"/>
                <w:color w:val="365F91"/>
                <w:sz w:val="20"/>
                <w:szCs w:val="20"/>
              </w:rPr>
              <w:t> </w:t>
            </w:r>
          </w:p>
        </w:tc>
        <w:tc>
          <w:tcPr>
            <w:tcW w:w="711" w:type="pct"/>
            <w:tcBorders>
              <w:top w:val="nil"/>
              <w:left w:val="nil"/>
              <w:bottom w:val="nil"/>
              <w:right w:val="nil"/>
            </w:tcBorders>
            <w:shd w:val="clear" w:color="000000" w:fill="D3DFEE"/>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1.10</w:t>
            </w:r>
          </w:p>
        </w:tc>
        <w:tc>
          <w:tcPr>
            <w:tcW w:w="572" w:type="pct"/>
            <w:tcBorders>
              <w:top w:val="nil"/>
              <w:left w:val="nil"/>
              <w:bottom w:val="nil"/>
              <w:right w:val="nil"/>
            </w:tcBorders>
            <w:shd w:val="clear" w:color="000000" w:fill="D3DFEE"/>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384.388,12</w:t>
            </w:r>
          </w:p>
        </w:tc>
        <w:tc>
          <w:tcPr>
            <w:tcW w:w="617"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219.650,35</w:t>
            </w:r>
          </w:p>
        </w:tc>
        <w:tc>
          <w:tcPr>
            <w:tcW w:w="73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13.728,15</w:t>
            </w:r>
          </w:p>
        </w:tc>
        <w:tc>
          <w:tcPr>
            <w:tcW w:w="77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61.776,66</w:t>
            </w:r>
          </w:p>
        </w:tc>
        <w:tc>
          <w:tcPr>
            <w:tcW w:w="665"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89.232,96</w:t>
            </w:r>
          </w:p>
        </w:tc>
      </w:tr>
      <w:tr w:rsidR="00862710" w:rsidRPr="00AD0FFB" w:rsidTr="00862710">
        <w:trPr>
          <w:trHeight w:val="300"/>
        </w:trPr>
        <w:tc>
          <w:tcPr>
            <w:tcW w:w="932" w:type="pct"/>
            <w:tcBorders>
              <w:top w:val="nil"/>
              <w:left w:val="nil"/>
              <w:bottom w:val="nil"/>
              <w:right w:val="nil"/>
            </w:tcBorders>
            <w:shd w:val="clear" w:color="auto" w:fill="auto"/>
            <w:noWrap/>
            <w:vAlign w:val="center"/>
            <w:hideMark/>
          </w:tcPr>
          <w:p w:rsidR="00862710" w:rsidRPr="003C3367" w:rsidRDefault="00862710" w:rsidP="00862710">
            <w:pPr>
              <w:jc w:val="right"/>
              <w:rPr>
                <w:rFonts w:ascii="Times New Roman" w:hAnsi="Times New Roman"/>
                <w:b/>
                <w:bCs/>
                <w:color w:val="000000"/>
                <w:sz w:val="20"/>
                <w:szCs w:val="20"/>
              </w:rPr>
            </w:pPr>
            <w:r w:rsidRPr="003C3367">
              <w:rPr>
                <w:rFonts w:ascii="Times New Roman" w:hAnsi="Times New Roman"/>
                <w:b/>
                <w:bCs/>
                <w:color w:val="000000"/>
                <w:sz w:val="20"/>
                <w:szCs w:val="20"/>
              </w:rPr>
              <w:t>16</w:t>
            </w:r>
          </w:p>
        </w:tc>
        <w:tc>
          <w:tcPr>
            <w:tcW w:w="711" w:type="pct"/>
            <w:tcBorders>
              <w:top w:val="nil"/>
              <w:left w:val="nil"/>
              <w:bottom w:val="nil"/>
              <w:right w:val="nil"/>
            </w:tcBorders>
            <w:shd w:val="clear" w:color="auto" w:fill="auto"/>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16.1</w:t>
            </w:r>
          </w:p>
        </w:tc>
        <w:tc>
          <w:tcPr>
            <w:tcW w:w="572" w:type="pct"/>
            <w:tcBorders>
              <w:top w:val="nil"/>
              <w:left w:val="nil"/>
              <w:bottom w:val="nil"/>
              <w:right w:val="nil"/>
            </w:tcBorders>
            <w:shd w:val="clear" w:color="auto" w:fill="auto"/>
            <w:noWrap/>
            <w:vAlign w:val="center"/>
            <w:hideMark/>
          </w:tcPr>
          <w:p w:rsidR="00862710" w:rsidRPr="003C3367" w:rsidRDefault="00862710" w:rsidP="00862710">
            <w:pPr>
              <w:jc w:val="right"/>
              <w:rPr>
                <w:rFonts w:ascii="Times New Roman" w:hAnsi="Times New Roman"/>
                <w:color w:val="000000"/>
                <w:sz w:val="20"/>
                <w:szCs w:val="20"/>
              </w:rPr>
            </w:pPr>
            <w:r w:rsidRPr="003C3367">
              <w:rPr>
                <w:rFonts w:ascii="Times New Roman" w:hAnsi="Times New Roman"/>
                <w:color w:val="000000"/>
                <w:sz w:val="20"/>
                <w:szCs w:val="20"/>
              </w:rPr>
              <w:t>8.177.373,21</w:t>
            </w:r>
          </w:p>
        </w:tc>
        <w:tc>
          <w:tcPr>
            <w:tcW w:w="617"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4.672.784,69</w:t>
            </w:r>
          </w:p>
        </w:tc>
        <w:tc>
          <w:tcPr>
            <w:tcW w:w="730"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292.049,04</w:t>
            </w:r>
          </w:p>
        </w:tc>
        <w:tc>
          <w:tcPr>
            <w:tcW w:w="773"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1.314.220,69</w:t>
            </w:r>
          </w:p>
        </w:tc>
        <w:tc>
          <w:tcPr>
            <w:tcW w:w="665" w:type="pct"/>
            <w:tcBorders>
              <w:top w:val="nil"/>
              <w:left w:val="nil"/>
              <w:bottom w:val="nil"/>
              <w:right w:val="nil"/>
            </w:tcBorders>
            <w:shd w:val="clear" w:color="000000" w:fill="D6E6F4"/>
            <w:noWrap/>
            <w:vAlign w:val="center"/>
            <w:hideMark/>
          </w:tcPr>
          <w:p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1.898.318,78</w:t>
            </w:r>
          </w:p>
        </w:tc>
      </w:tr>
    </w:tbl>
    <w:p w:rsidR="00D90F50" w:rsidRDefault="00D90F50" w:rsidP="00862710">
      <w:pPr>
        <w:jc w:val="center"/>
        <w:rPr>
          <w:rFonts w:ascii="Times New Roman" w:hAnsi="Times New Roman"/>
          <w:sz w:val="24"/>
          <w:szCs w:val="24"/>
        </w:rPr>
      </w:pPr>
    </w:p>
    <w:p w:rsidR="00862710" w:rsidRPr="003C3367" w:rsidRDefault="00862710" w:rsidP="00862710">
      <w:pPr>
        <w:jc w:val="center"/>
        <w:rPr>
          <w:rFonts w:ascii="Times New Roman" w:hAnsi="Times New Roman"/>
          <w:sz w:val="24"/>
          <w:szCs w:val="24"/>
        </w:rPr>
      </w:pPr>
      <w:r w:rsidRPr="003C3367">
        <w:rPr>
          <w:rFonts w:ascii="Times New Roman" w:hAnsi="Times New Roman"/>
          <w:noProof/>
          <w:sz w:val="24"/>
          <w:szCs w:val="24"/>
          <w:lang w:eastAsia="it-IT"/>
        </w:rPr>
        <w:drawing>
          <wp:inline distT="0" distB="0" distL="0" distR="0" wp14:anchorId="3BF249D4" wp14:editId="590711B9">
            <wp:extent cx="4567555" cy="2738755"/>
            <wp:effectExtent l="0" t="0" r="29845" b="29845"/>
            <wp:docPr id="5" name="Gra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2710" w:rsidRPr="003C3367" w:rsidRDefault="00862710" w:rsidP="00862710">
      <w:pPr>
        <w:jc w:val="both"/>
        <w:rPr>
          <w:rFonts w:ascii="Times New Roman" w:hAnsi="Times New Roman"/>
          <w:sz w:val="24"/>
          <w:szCs w:val="24"/>
        </w:rPr>
      </w:pPr>
    </w:p>
    <w:p w:rsidR="00862710" w:rsidRDefault="00862710" w:rsidP="00862710">
      <w:pPr>
        <w:autoSpaceDE w:val="0"/>
        <w:autoSpaceDN w:val="0"/>
        <w:adjustRightInd w:val="0"/>
        <w:spacing w:after="120"/>
        <w:ind w:left="720"/>
        <w:jc w:val="both"/>
        <w:rPr>
          <w:rFonts w:ascii="Times New Roman" w:hAnsi="Times New Roman"/>
          <w:sz w:val="24"/>
          <w:szCs w:val="24"/>
        </w:rPr>
      </w:pPr>
      <w:r w:rsidRPr="003C3367">
        <w:rPr>
          <w:rFonts w:ascii="Times New Roman" w:hAnsi="Times New Roman"/>
          <w:sz w:val="24"/>
          <w:szCs w:val="24"/>
        </w:rPr>
        <w:lastRenderedPageBreak/>
        <w:t>Come anticipato in precedenza, le differenze tra le diverse suddivisioni dei costi sono dovute alle voci non prese in considerazione perché non connesse alle attività dei centri di costo, quali le partite di giro, le immobilizzazioni, le variazioni delle rimanenze</w:t>
      </w:r>
      <w:r>
        <w:rPr>
          <w:rFonts w:ascii="Times New Roman" w:hAnsi="Times New Roman"/>
          <w:sz w:val="24"/>
          <w:szCs w:val="24"/>
        </w:rPr>
        <w:t>.</w:t>
      </w:r>
    </w:p>
    <w:p w:rsidR="00862710" w:rsidRPr="00AD0FFB" w:rsidRDefault="00862710" w:rsidP="00862710">
      <w:pPr>
        <w:autoSpaceDE w:val="0"/>
        <w:autoSpaceDN w:val="0"/>
        <w:adjustRightInd w:val="0"/>
        <w:spacing w:after="120"/>
        <w:ind w:left="720"/>
        <w:jc w:val="both"/>
        <w:rPr>
          <w:rFonts w:ascii="Times New Roman" w:hAnsi="Times New Roman"/>
          <w:sz w:val="24"/>
          <w:szCs w:val="24"/>
        </w:rPr>
      </w:pPr>
    </w:p>
    <w:p w:rsidR="00862710" w:rsidRPr="00BB1215" w:rsidRDefault="00D90F50" w:rsidP="00862710">
      <w:pPr>
        <w:pStyle w:val="Titolo1"/>
      </w:pPr>
      <w:bookmarkStart w:id="58" w:name="_Toc1046951"/>
      <w:r>
        <w:t>Evoluzione temporale</w:t>
      </w:r>
      <w:r w:rsidR="00862710" w:rsidRPr="00BB1215">
        <w:t xml:space="preserve"> </w:t>
      </w:r>
      <w:r>
        <w:t>degli</w:t>
      </w:r>
      <w:r w:rsidR="00862710" w:rsidRPr="00BB1215">
        <w:t xml:space="preserve"> indicatori di salute finanziaria dell’Agenzia</w:t>
      </w:r>
      <w:r w:rsidR="00862710">
        <w:t xml:space="preserve"> (Sezione Sperimentale)</w:t>
      </w:r>
      <w:bookmarkEnd w:id="58"/>
    </w:p>
    <w:p w:rsidR="00862710" w:rsidRDefault="00B553F9" w:rsidP="00862710">
      <w:pPr>
        <w:rPr>
          <w:rFonts w:ascii="Times New Roman" w:hAnsi="Times New Roman"/>
          <w:bCs/>
          <w:sz w:val="24"/>
          <w:szCs w:val="24"/>
        </w:rPr>
      </w:pPr>
      <w:r>
        <w:rPr>
          <w:rFonts w:ascii="Times New Roman" w:hAnsi="Times New Roman"/>
          <w:bCs/>
          <w:sz w:val="24"/>
          <w:szCs w:val="24"/>
        </w:rPr>
        <w:t xml:space="preserve">A partire dal presente Piano,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rsidR="00B553F9" w:rsidRPr="00B553F9" w:rsidRDefault="00B553F9" w:rsidP="00B553F9">
      <w:pPr>
        <w:pStyle w:val="Paragrafoelenco"/>
        <w:numPr>
          <w:ilvl w:val="0"/>
          <w:numId w:val="83"/>
        </w:numPr>
        <w:rPr>
          <w:rFonts w:ascii="Times New Roman" w:hAnsi="Times New Roman"/>
          <w:bCs/>
          <w:sz w:val="24"/>
          <w:szCs w:val="24"/>
        </w:rPr>
      </w:pPr>
      <w:r w:rsidRPr="00B553F9">
        <w:rPr>
          <w:rFonts w:ascii="Times New Roman" w:hAnsi="Times New Roman"/>
          <w:bCs/>
          <w:sz w:val="24"/>
          <w:szCs w:val="24"/>
        </w:rPr>
        <w:t>Equilibrio economico-finanziario</w:t>
      </w:r>
    </w:p>
    <w:p w:rsidR="00B553F9" w:rsidRPr="00B553F9" w:rsidRDefault="00B553F9" w:rsidP="00B553F9">
      <w:pPr>
        <w:pStyle w:val="Paragrafoelenco"/>
        <w:numPr>
          <w:ilvl w:val="0"/>
          <w:numId w:val="83"/>
        </w:numPr>
        <w:rPr>
          <w:rFonts w:ascii="Times New Roman" w:hAnsi="Times New Roman"/>
          <w:bCs/>
          <w:sz w:val="24"/>
          <w:szCs w:val="24"/>
        </w:rPr>
      </w:pPr>
      <w:r w:rsidRPr="00B553F9">
        <w:rPr>
          <w:rFonts w:ascii="Times New Roman" w:hAnsi="Times New Roman"/>
          <w:bCs/>
          <w:sz w:val="24"/>
          <w:szCs w:val="24"/>
        </w:rPr>
        <w:t>Entrate</w:t>
      </w:r>
    </w:p>
    <w:p w:rsidR="00B553F9" w:rsidRPr="00B553F9" w:rsidRDefault="00B553F9" w:rsidP="00B553F9">
      <w:pPr>
        <w:pStyle w:val="Paragrafoelenco"/>
        <w:numPr>
          <w:ilvl w:val="0"/>
          <w:numId w:val="83"/>
        </w:numPr>
        <w:rPr>
          <w:rFonts w:ascii="Times New Roman" w:hAnsi="Times New Roman"/>
          <w:bCs/>
          <w:sz w:val="24"/>
          <w:szCs w:val="24"/>
        </w:rPr>
      </w:pPr>
      <w:r w:rsidRPr="00B553F9">
        <w:rPr>
          <w:rFonts w:ascii="Times New Roman" w:hAnsi="Times New Roman"/>
          <w:bCs/>
          <w:sz w:val="24"/>
          <w:szCs w:val="24"/>
        </w:rPr>
        <w:t>Patrimonio, indebitamento</w:t>
      </w:r>
    </w:p>
    <w:p w:rsidR="00B553F9" w:rsidRPr="00B553F9" w:rsidRDefault="00B553F9" w:rsidP="00B553F9">
      <w:pPr>
        <w:pStyle w:val="Paragrafoelenco"/>
        <w:numPr>
          <w:ilvl w:val="0"/>
          <w:numId w:val="83"/>
        </w:numPr>
        <w:rPr>
          <w:rFonts w:ascii="Times New Roman" w:hAnsi="Times New Roman"/>
          <w:bCs/>
          <w:sz w:val="24"/>
          <w:szCs w:val="24"/>
        </w:rPr>
      </w:pPr>
      <w:r w:rsidRPr="00B553F9">
        <w:rPr>
          <w:rFonts w:ascii="Times New Roman" w:hAnsi="Times New Roman"/>
          <w:sz w:val="24"/>
          <w:szCs w:val="24"/>
        </w:rPr>
        <w:t>rapporto spese/costi</w:t>
      </w:r>
    </w:p>
    <w:p w:rsidR="00B553F9" w:rsidRPr="00B553F9" w:rsidRDefault="00B553F9" w:rsidP="00B553F9">
      <w:pPr>
        <w:pStyle w:val="Paragrafoelenco"/>
        <w:rPr>
          <w:rFonts w:ascii="Times New Roman" w:hAnsi="Times New Roman"/>
          <w:bCs/>
          <w:sz w:val="24"/>
          <w:szCs w:val="24"/>
        </w:rPr>
      </w:pPr>
    </w:p>
    <w:p w:rsidR="00862710" w:rsidRPr="00BB1215" w:rsidRDefault="00862710" w:rsidP="00B553F9">
      <w:pPr>
        <w:pStyle w:val="Titolo2"/>
      </w:pPr>
      <w:bookmarkStart w:id="59" w:name="_Toc1046952"/>
      <w:r w:rsidRPr="00BB1215">
        <w:t>Dimensione: Equilibrio economico-finanziario:</w:t>
      </w:r>
      <w:bookmarkEnd w:id="59"/>
      <w:r w:rsidRPr="00BB1215">
        <w:t xml:space="preserve"> </w:t>
      </w:r>
    </w:p>
    <w:p w:rsidR="00862710" w:rsidRPr="00BB1215" w:rsidRDefault="00862710" w:rsidP="00862710">
      <w:pPr>
        <w:ind w:left="708"/>
        <w:jc w:val="both"/>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Pr="00BB1215">
        <w:rPr>
          <w:rFonts w:ascii="Times New Roman" w:hAnsi="Times New Roman"/>
          <w:sz w:val="24"/>
          <w:szCs w:val="24"/>
        </w:rPr>
        <w:t xml:space="preserve">:  3.1 - Incidenza spesa personale sulla spesa corrente (Indicatore di equilibrio economico-finanziario) </w:t>
      </w:r>
    </w:p>
    <w:p w:rsidR="00862710" w:rsidRPr="00BB1215" w:rsidRDefault="00862710" w:rsidP="00862710">
      <w:pPr>
        <w:ind w:left="708"/>
        <w:jc w:val="both"/>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Stanziamenti di competenza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IRAP [</w:t>
      </w:r>
      <w:proofErr w:type="spellStart"/>
      <w:r w:rsidRPr="00BB1215">
        <w:rPr>
          <w:rFonts w:ascii="Times New Roman" w:hAnsi="Times New Roman"/>
          <w:sz w:val="24"/>
          <w:szCs w:val="24"/>
        </w:rPr>
        <w:t>pdc</w:t>
      </w:r>
      <w:proofErr w:type="spellEnd"/>
      <w:r w:rsidRPr="00BB1215">
        <w:rPr>
          <w:rFonts w:ascii="Times New Roman" w:hAnsi="Times New Roman"/>
          <w:sz w:val="24"/>
          <w:szCs w:val="24"/>
        </w:rPr>
        <w:t xml:space="preserve"> U.1.02.01.01] - FPV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Stanziamenti competenza (Spesa corrente - FCDE corrente - FPV di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w:t>
      </w:r>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xml:space="preserve">: &lt; 50%  </w:t>
      </w:r>
    </w:p>
    <w:p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rsidR="00862710" w:rsidRDefault="00862710" w:rsidP="00862710">
      <w:pPr>
        <w:pStyle w:val="Paragrafoelenco"/>
        <w:numPr>
          <w:ilvl w:val="0"/>
          <w:numId w:val="77"/>
        </w:numPr>
        <w:rPr>
          <w:rFonts w:ascii="Times New Roman" w:hAnsi="Times New Roman"/>
          <w:sz w:val="24"/>
          <w:szCs w:val="24"/>
        </w:rPr>
      </w:pPr>
      <w:r w:rsidRPr="00897297">
        <w:rPr>
          <w:rFonts w:ascii="Times New Roman" w:hAnsi="Times New Roman"/>
          <w:b/>
          <w:sz w:val="24"/>
          <w:szCs w:val="24"/>
        </w:rPr>
        <w:t>2015</w:t>
      </w:r>
      <w:r>
        <w:rPr>
          <w:rFonts w:ascii="Times New Roman" w:hAnsi="Times New Roman"/>
          <w:sz w:val="24"/>
          <w:szCs w:val="24"/>
        </w:rPr>
        <w:t xml:space="preserve">: </w:t>
      </w:r>
      <w:r w:rsidRPr="00BB1215">
        <w:rPr>
          <w:rFonts w:ascii="Times New Roman" w:hAnsi="Times New Roman"/>
          <w:sz w:val="24"/>
          <w:szCs w:val="24"/>
        </w:rPr>
        <w:t>47,92%</w:t>
      </w:r>
    </w:p>
    <w:p w:rsidR="00862710" w:rsidRDefault="00862710" w:rsidP="00862710">
      <w:pPr>
        <w:pStyle w:val="Paragrafoelenco"/>
        <w:numPr>
          <w:ilvl w:val="0"/>
          <w:numId w:val="77"/>
        </w:numPr>
        <w:rPr>
          <w:rFonts w:ascii="Times New Roman" w:hAnsi="Times New Roman"/>
          <w:sz w:val="24"/>
          <w:szCs w:val="24"/>
        </w:rPr>
      </w:pPr>
      <w:r w:rsidRPr="00897297">
        <w:rPr>
          <w:rFonts w:ascii="Times New Roman" w:hAnsi="Times New Roman"/>
          <w:b/>
          <w:sz w:val="24"/>
          <w:szCs w:val="24"/>
        </w:rPr>
        <w:t>2016</w:t>
      </w:r>
      <w:r>
        <w:rPr>
          <w:rFonts w:ascii="Times New Roman" w:hAnsi="Times New Roman"/>
          <w:sz w:val="24"/>
          <w:szCs w:val="24"/>
        </w:rPr>
        <w:t xml:space="preserve">: </w:t>
      </w:r>
      <w:r w:rsidRPr="00BB1215">
        <w:rPr>
          <w:rFonts w:ascii="Times New Roman" w:hAnsi="Times New Roman"/>
          <w:sz w:val="24"/>
          <w:szCs w:val="24"/>
        </w:rPr>
        <w:t xml:space="preserve">47,74% </w:t>
      </w:r>
    </w:p>
    <w:p w:rsidR="00862710" w:rsidRPr="00BB1215" w:rsidRDefault="00862710" w:rsidP="00862710">
      <w:pPr>
        <w:pStyle w:val="Paragrafoelenco"/>
        <w:numPr>
          <w:ilvl w:val="0"/>
          <w:numId w:val="77"/>
        </w:numPr>
        <w:rPr>
          <w:rFonts w:ascii="Times New Roman" w:hAnsi="Times New Roman"/>
          <w:sz w:val="24"/>
          <w:szCs w:val="24"/>
        </w:rPr>
      </w:pPr>
      <w:r w:rsidRPr="00897297">
        <w:rPr>
          <w:rFonts w:ascii="Times New Roman" w:hAnsi="Times New Roman"/>
          <w:b/>
          <w:sz w:val="24"/>
          <w:szCs w:val="24"/>
        </w:rPr>
        <w:t>2017</w:t>
      </w:r>
      <w:r>
        <w:rPr>
          <w:rFonts w:ascii="Times New Roman" w:hAnsi="Times New Roman"/>
          <w:sz w:val="24"/>
          <w:szCs w:val="24"/>
        </w:rPr>
        <w:t xml:space="preserve">: </w:t>
      </w:r>
      <w:r w:rsidRPr="00BB1215">
        <w:rPr>
          <w:rFonts w:ascii="Times New Roman" w:hAnsi="Times New Roman"/>
          <w:sz w:val="24"/>
          <w:szCs w:val="24"/>
        </w:rPr>
        <w:t xml:space="preserve">34,13% </w:t>
      </w:r>
    </w:p>
    <w:p w:rsidR="00862710" w:rsidRPr="00BB1215" w:rsidRDefault="00862710" w:rsidP="00862710">
      <w:pPr>
        <w:pStyle w:val="Paragrafoelenco"/>
        <w:ind w:left="1428"/>
        <w:rPr>
          <w:rFonts w:ascii="Times New Roman" w:hAnsi="Times New Roman"/>
          <w:sz w:val="24"/>
          <w:szCs w:val="24"/>
        </w:rPr>
      </w:pPr>
    </w:p>
    <w:p w:rsidR="00862710" w:rsidRDefault="00862710" w:rsidP="00862710">
      <w:pPr>
        <w:ind w:left="1068"/>
        <w:jc w:val="center"/>
        <w:rPr>
          <w:rFonts w:ascii="Times New Roman" w:hAnsi="Times New Roman"/>
          <w:sz w:val="24"/>
          <w:szCs w:val="24"/>
        </w:rPr>
      </w:pPr>
      <w:r>
        <w:rPr>
          <w:noProof/>
          <w:lang w:eastAsia="it-IT"/>
        </w:rPr>
        <w:lastRenderedPageBreak/>
        <w:drawing>
          <wp:inline distT="0" distB="0" distL="0" distR="0" wp14:anchorId="7F3FB986" wp14:editId="4ABD4948">
            <wp:extent cx="4572000" cy="2743200"/>
            <wp:effectExtent l="0" t="0" r="19050" b="1905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2710" w:rsidRPr="00F616C4" w:rsidRDefault="00862710" w:rsidP="00862710">
      <w:pPr>
        <w:ind w:left="1068"/>
        <w:rPr>
          <w:rFonts w:ascii="Times New Roman" w:hAnsi="Times New Roman"/>
          <w:sz w:val="24"/>
          <w:szCs w:val="24"/>
        </w:rPr>
      </w:pPr>
    </w:p>
    <w:p w:rsidR="00862710" w:rsidRPr="00BB1215" w:rsidRDefault="00862710" w:rsidP="00B553F9">
      <w:pPr>
        <w:pStyle w:val="Titolo2"/>
      </w:pPr>
      <w:bookmarkStart w:id="60" w:name="_Toc1046953"/>
      <w:r w:rsidRPr="00BB1215">
        <w:t>Dimensione: Entrate</w:t>
      </w:r>
      <w:bookmarkEnd w:id="60"/>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Pr="00BB1215">
        <w:rPr>
          <w:rFonts w:ascii="Times New Roman" w:hAnsi="Times New Roman"/>
          <w:sz w:val="24"/>
          <w:szCs w:val="24"/>
        </w:rPr>
        <w:t xml:space="preserve">  2.1 - Indicatore di realizzazione delle previsioni di competenza concernenti le entrate correnti </w:t>
      </w:r>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Media accertamenti primi tre titoli di entrata nei tre esercizi precedenti / Stanziamenti di competenza dei primi tre titoli delle "Entrate correnti" </w:t>
      </w:r>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xml:space="preserve"> &lt;= 80% </w:t>
      </w:r>
    </w:p>
    <w:p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rsidR="00862710" w:rsidRPr="00BB1215" w:rsidRDefault="00862710" w:rsidP="00862710">
      <w:pPr>
        <w:pStyle w:val="Paragrafoelenco"/>
        <w:numPr>
          <w:ilvl w:val="0"/>
          <w:numId w:val="79"/>
        </w:numPr>
        <w:rPr>
          <w:rFonts w:ascii="Times New Roman" w:hAnsi="Times New Roman"/>
          <w:sz w:val="24"/>
          <w:szCs w:val="24"/>
        </w:rPr>
      </w:pPr>
      <w:r>
        <w:rPr>
          <w:rFonts w:ascii="Times New Roman" w:hAnsi="Times New Roman"/>
          <w:sz w:val="24"/>
          <w:szCs w:val="24"/>
        </w:rPr>
        <w:t xml:space="preserve">2015: </w:t>
      </w:r>
      <w:r w:rsidRPr="00BB1215">
        <w:rPr>
          <w:rFonts w:ascii="Times New Roman" w:hAnsi="Times New Roman"/>
          <w:sz w:val="24"/>
          <w:szCs w:val="24"/>
        </w:rPr>
        <w:t xml:space="preserve">85,00% </w:t>
      </w:r>
    </w:p>
    <w:p w:rsidR="00862710" w:rsidRPr="00BB1215" w:rsidRDefault="00862710" w:rsidP="00862710">
      <w:pPr>
        <w:pStyle w:val="Paragrafoelenco"/>
        <w:numPr>
          <w:ilvl w:val="0"/>
          <w:numId w:val="79"/>
        </w:numPr>
        <w:rPr>
          <w:rFonts w:ascii="Times New Roman" w:hAnsi="Times New Roman"/>
          <w:sz w:val="24"/>
          <w:szCs w:val="24"/>
        </w:rPr>
      </w:pPr>
      <w:r>
        <w:rPr>
          <w:rFonts w:ascii="Times New Roman" w:hAnsi="Times New Roman"/>
          <w:sz w:val="24"/>
          <w:szCs w:val="24"/>
        </w:rPr>
        <w:t xml:space="preserve">2016: </w:t>
      </w:r>
      <w:r w:rsidRPr="00BB1215">
        <w:rPr>
          <w:rFonts w:ascii="Times New Roman" w:hAnsi="Times New Roman"/>
          <w:sz w:val="24"/>
          <w:szCs w:val="24"/>
        </w:rPr>
        <w:t xml:space="preserve">84,49% </w:t>
      </w:r>
    </w:p>
    <w:p w:rsidR="00862710" w:rsidRDefault="00862710" w:rsidP="00862710">
      <w:pPr>
        <w:pStyle w:val="Paragrafoelenco"/>
        <w:numPr>
          <w:ilvl w:val="0"/>
          <w:numId w:val="79"/>
        </w:numPr>
        <w:rPr>
          <w:rFonts w:ascii="Times New Roman" w:hAnsi="Times New Roman"/>
          <w:sz w:val="24"/>
          <w:szCs w:val="24"/>
        </w:rPr>
      </w:pPr>
      <w:r>
        <w:rPr>
          <w:rFonts w:ascii="Times New Roman" w:hAnsi="Times New Roman"/>
          <w:sz w:val="24"/>
          <w:szCs w:val="24"/>
        </w:rPr>
        <w:t xml:space="preserve">2017: </w:t>
      </w:r>
      <w:r w:rsidRPr="00BB1215">
        <w:rPr>
          <w:rFonts w:ascii="Times New Roman" w:hAnsi="Times New Roman"/>
          <w:sz w:val="24"/>
          <w:szCs w:val="24"/>
        </w:rPr>
        <w:t>71,74%</w:t>
      </w:r>
    </w:p>
    <w:p w:rsidR="00862710" w:rsidRDefault="00862710" w:rsidP="00862710">
      <w:pPr>
        <w:pStyle w:val="Paragrafoelenco"/>
        <w:ind w:left="1428"/>
        <w:rPr>
          <w:rFonts w:ascii="Times New Roman" w:hAnsi="Times New Roman"/>
          <w:sz w:val="24"/>
          <w:szCs w:val="24"/>
        </w:rPr>
      </w:pPr>
    </w:p>
    <w:p w:rsidR="00862710" w:rsidRPr="00BB1215" w:rsidRDefault="00862710" w:rsidP="00862710">
      <w:pPr>
        <w:pStyle w:val="Paragrafoelenco"/>
        <w:ind w:left="1428"/>
        <w:rPr>
          <w:rFonts w:ascii="Times New Roman" w:hAnsi="Times New Roman"/>
          <w:sz w:val="24"/>
          <w:szCs w:val="24"/>
        </w:rPr>
      </w:pPr>
      <w:r>
        <w:rPr>
          <w:noProof/>
          <w:lang w:eastAsia="it-IT"/>
        </w:rPr>
        <w:drawing>
          <wp:inline distT="0" distB="0" distL="0" distR="0" wp14:anchorId="5AB135E2" wp14:editId="5B6CFA10">
            <wp:extent cx="4572000" cy="2771775"/>
            <wp:effectExtent l="0" t="0" r="19050" b="9525"/>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0F50" w:rsidRDefault="00D90F50" w:rsidP="00D90F50">
      <w:pPr>
        <w:pStyle w:val="Titolo2"/>
        <w:numPr>
          <w:ilvl w:val="0"/>
          <w:numId w:val="0"/>
        </w:numPr>
        <w:ind w:left="567"/>
      </w:pPr>
    </w:p>
    <w:p w:rsidR="00D90F50" w:rsidRPr="00D90F50" w:rsidRDefault="00D90F50" w:rsidP="00D90F50"/>
    <w:p w:rsidR="00B553F9" w:rsidRDefault="00862710" w:rsidP="00B553F9">
      <w:pPr>
        <w:pStyle w:val="Titolo2"/>
      </w:pPr>
      <w:bookmarkStart w:id="61" w:name="_Toc1046954"/>
      <w:r w:rsidRPr="00BB1215">
        <w:lastRenderedPageBreak/>
        <w:t xml:space="preserve">Dimensione: </w:t>
      </w:r>
      <w:r w:rsidRPr="00B553F9">
        <w:t>rapporto spese/costi</w:t>
      </w:r>
      <w:bookmarkEnd w:id="61"/>
    </w:p>
    <w:p w:rsidR="00D90F50" w:rsidRPr="00D90F50" w:rsidRDefault="00D90F50" w:rsidP="00D90F50"/>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 xml:space="preserve">Indicatore da Piano degli indicatori e dei risultati attesi di bilancio: </w:t>
      </w:r>
      <w:r w:rsidR="00D90F50">
        <w:rPr>
          <w:rFonts w:ascii="Times New Roman" w:hAnsi="Times New Roman"/>
          <w:sz w:val="24"/>
          <w:szCs w:val="24"/>
        </w:rPr>
        <w:t> </w:t>
      </w:r>
      <w:r w:rsidRPr="00BB1215">
        <w:rPr>
          <w:rFonts w:ascii="Times New Roman" w:hAnsi="Times New Roman"/>
          <w:sz w:val="24"/>
          <w:szCs w:val="24"/>
        </w:rPr>
        <w:t xml:space="preserve">1.1 - Incidenza spese rigide (disavanzo, personale e debito) su entrate correnti </w:t>
      </w:r>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[Disavanzo iscritto in spesa + Stanziamenti competenza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1.1 "Redditi di lavoro dipendente" + 1.7 "Interessi passivi" + Titolo 4 "Rimborso prestiti" + "IRAP" [</w:t>
      </w:r>
      <w:proofErr w:type="spellStart"/>
      <w:r w:rsidRPr="00BB1215">
        <w:rPr>
          <w:rFonts w:ascii="Times New Roman" w:hAnsi="Times New Roman"/>
          <w:sz w:val="24"/>
          <w:szCs w:val="24"/>
        </w:rPr>
        <w:t>pdc</w:t>
      </w:r>
      <w:proofErr w:type="spellEnd"/>
      <w:r w:rsidRPr="00BB1215">
        <w:rPr>
          <w:rFonts w:ascii="Times New Roman" w:hAnsi="Times New Roman"/>
          <w:sz w:val="24"/>
          <w:szCs w:val="24"/>
        </w:rPr>
        <w:t xml:space="preserve"> U.1.02.01.01] - FPV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(Stanziamenti di competenza dei primi tre titoli delle Entrate) </w:t>
      </w:r>
    </w:p>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xml:space="preserve"> &lt; 50% </w:t>
      </w:r>
    </w:p>
    <w:p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rsidR="00862710" w:rsidRPr="00BB1215" w:rsidRDefault="00862710" w:rsidP="00862710">
      <w:pPr>
        <w:pStyle w:val="Paragrafoelenco"/>
        <w:numPr>
          <w:ilvl w:val="0"/>
          <w:numId w:val="78"/>
        </w:numPr>
        <w:rPr>
          <w:rFonts w:ascii="Times New Roman" w:hAnsi="Times New Roman"/>
          <w:sz w:val="24"/>
          <w:szCs w:val="24"/>
        </w:rPr>
      </w:pPr>
      <w:r>
        <w:rPr>
          <w:rFonts w:ascii="Times New Roman" w:hAnsi="Times New Roman"/>
          <w:sz w:val="24"/>
          <w:szCs w:val="24"/>
        </w:rPr>
        <w:t xml:space="preserve">2015: </w:t>
      </w:r>
      <w:r w:rsidRPr="00BB1215">
        <w:rPr>
          <w:rFonts w:ascii="Times New Roman" w:hAnsi="Times New Roman"/>
          <w:sz w:val="24"/>
          <w:szCs w:val="24"/>
        </w:rPr>
        <w:t xml:space="preserve">47,04% </w:t>
      </w:r>
    </w:p>
    <w:p w:rsidR="00862710" w:rsidRDefault="00862710" w:rsidP="00862710">
      <w:pPr>
        <w:pStyle w:val="Paragrafoelenco"/>
        <w:numPr>
          <w:ilvl w:val="0"/>
          <w:numId w:val="78"/>
        </w:numPr>
        <w:rPr>
          <w:rFonts w:ascii="Times New Roman" w:hAnsi="Times New Roman"/>
          <w:sz w:val="24"/>
          <w:szCs w:val="24"/>
        </w:rPr>
      </w:pPr>
      <w:r>
        <w:rPr>
          <w:rFonts w:ascii="Times New Roman" w:hAnsi="Times New Roman"/>
          <w:sz w:val="24"/>
          <w:szCs w:val="24"/>
        </w:rPr>
        <w:t xml:space="preserve">2016: </w:t>
      </w:r>
      <w:r w:rsidRPr="00BB1215">
        <w:rPr>
          <w:rFonts w:ascii="Times New Roman" w:hAnsi="Times New Roman"/>
          <w:sz w:val="24"/>
          <w:szCs w:val="24"/>
        </w:rPr>
        <w:t>47,21%</w:t>
      </w:r>
    </w:p>
    <w:p w:rsidR="00862710" w:rsidRPr="00BB1215" w:rsidRDefault="00862710" w:rsidP="00862710">
      <w:pPr>
        <w:pStyle w:val="Paragrafoelenco"/>
        <w:numPr>
          <w:ilvl w:val="0"/>
          <w:numId w:val="78"/>
        </w:numPr>
        <w:rPr>
          <w:rFonts w:ascii="Times New Roman" w:hAnsi="Times New Roman"/>
          <w:sz w:val="24"/>
          <w:szCs w:val="24"/>
        </w:rPr>
      </w:pPr>
      <w:r>
        <w:rPr>
          <w:rFonts w:ascii="Times New Roman" w:hAnsi="Times New Roman"/>
          <w:sz w:val="24"/>
          <w:szCs w:val="24"/>
        </w:rPr>
        <w:t xml:space="preserve">2017: </w:t>
      </w:r>
      <w:r w:rsidRPr="00BB1215">
        <w:rPr>
          <w:rFonts w:ascii="Times New Roman" w:hAnsi="Times New Roman"/>
          <w:sz w:val="24"/>
          <w:szCs w:val="24"/>
        </w:rPr>
        <w:t xml:space="preserve">46,10% </w:t>
      </w:r>
    </w:p>
    <w:p w:rsidR="00862710" w:rsidRDefault="00862710" w:rsidP="00862710">
      <w:pPr>
        <w:pStyle w:val="Paragrafoelenco"/>
        <w:ind w:left="1428"/>
        <w:rPr>
          <w:rFonts w:ascii="Times New Roman" w:hAnsi="Times New Roman"/>
          <w:sz w:val="24"/>
          <w:szCs w:val="24"/>
        </w:rPr>
      </w:pPr>
    </w:p>
    <w:p w:rsidR="00862710" w:rsidRDefault="00862710" w:rsidP="00862710">
      <w:pPr>
        <w:jc w:val="center"/>
        <w:rPr>
          <w:rFonts w:ascii="Times New Roman" w:hAnsi="Times New Roman"/>
          <w:sz w:val="24"/>
          <w:szCs w:val="24"/>
        </w:rPr>
      </w:pPr>
      <w:r>
        <w:rPr>
          <w:noProof/>
          <w:lang w:eastAsia="it-IT"/>
        </w:rPr>
        <w:drawing>
          <wp:inline distT="0" distB="0" distL="0" distR="0" wp14:anchorId="7EC22547" wp14:editId="791D2374">
            <wp:extent cx="4572000" cy="2771775"/>
            <wp:effectExtent l="0" t="0" r="19050" b="9525"/>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2710" w:rsidRDefault="00862710" w:rsidP="00B553F9">
      <w:pPr>
        <w:pStyle w:val="Titolo2"/>
      </w:pPr>
      <w:bookmarkStart w:id="62" w:name="_Toc1046955"/>
      <w:r w:rsidRPr="00BB1215">
        <w:t>Dimens</w:t>
      </w:r>
      <w:r w:rsidR="00B553F9">
        <w:t>ione: patrimonio, indebitamento</w:t>
      </w:r>
      <w:bookmarkEnd w:id="62"/>
    </w:p>
    <w:p w:rsidR="00B553F9" w:rsidRPr="00B553F9" w:rsidRDefault="00B553F9" w:rsidP="00B553F9"/>
    <w:p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Pr="00BB1215">
        <w:rPr>
          <w:rFonts w:ascii="Times New Roman" w:hAnsi="Times New Roman"/>
          <w:sz w:val="24"/>
          <w:szCs w:val="24"/>
        </w:rPr>
        <w:t xml:space="preserve">   6.1 - Indicatore di smaltimento debiti commerciali Stanziamento di cassa </w:t>
      </w:r>
    </w:p>
    <w:p w:rsidR="00862710" w:rsidRPr="00F616C4" w:rsidRDefault="00862710" w:rsidP="00862710">
      <w:pPr>
        <w:ind w:left="708"/>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1.3 "Acquisto di beni e servizi" + 2.2 "Investimenti fissi lordi e acquisto di terreni") / stanziamenti di competenza e residui al netto dei relativi FPV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1.3 "Acquisto di beni e servizi" + 2.2 "Investimenti fissi lordi e </w:t>
      </w:r>
      <w:r w:rsidRPr="00F616C4">
        <w:rPr>
          <w:rFonts w:ascii="Times New Roman" w:hAnsi="Times New Roman"/>
          <w:sz w:val="24"/>
          <w:szCs w:val="24"/>
        </w:rPr>
        <w:t>acquisto di terreni") - i relativi FPV</w:t>
      </w:r>
    </w:p>
    <w:p w:rsidR="00862710" w:rsidRPr="00F616C4" w:rsidRDefault="00862710" w:rsidP="00862710">
      <w:pPr>
        <w:ind w:left="708"/>
        <w:rPr>
          <w:rFonts w:ascii="Times New Roman" w:hAnsi="Times New Roman"/>
          <w:b/>
          <w:bCs/>
          <w:sz w:val="24"/>
          <w:szCs w:val="24"/>
        </w:rPr>
      </w:pPr>
      <w:r w:rsidRPr="00F616C4">
        <w:rPr>
          <w:rFonts w:ascii="Times New Roman" w:hAnsi="Times New Roman"/>
          <w:b/>
          <w:bCs/>
          <w:sz w:val="24"/>
          <w:szCs w:val="24"/>
        </w:rPr>
        <w:t xml:space="preserve">Target: &lt;100% </w:t>
      </w:r>
    </w:p>
    <w:p w:rsidR="00862710" w:rsidRPr="00F616C4" w:rsidRDefault="00862710" w:rsidP="00862710">
      <w:pPr>
        <w:ind w:left="708"/>
        <w:rPr>
          <w:rFonts w:ascii="Times New Roman" w:hAnsi="Times New Roman"/>
          <w:b/>
          <w:bCs/>
          <w:sz w:val="24"/>
          <w:szCs w:val="24"/>
        </w:rPr>
      </w:pPr>
      <w:r w:rsidRPr="00F616C4">
        <w:rPr>
          <w:rFonts w:ascii="Times New Roman" w:hAnsi="Times New Roman"/>
          <w:b/>
          <w:bCs/>
          <w:sz w:val="24"/>
          <w:szCs w:val="24"/>
        </w:rPr>
        <w:t xml:space="preserve">serie storica: </w:t>
      </w:r>
    </w:p>
    <w:p w:rsidR="00862710" w:rsidRPr="0077354F" w:rsidRDefault="00862710" w:rsidP="00862710">
      <w:pPr>
        <w:pStyle w:val="Paragrafoelenco"/>
        <w:numPr>
          <w:ilvl w:val="0"/>
          <w:numId w:val="81"/>
        </w:numPr>
        <w:rPr>
          <w:rFonts w:ascii="Times New Roman" w:hAnsi="Times New Roman"/>
          <w:b/>
          <w:bCs/>
          <w:sz w:val="24"/>
          <w:szCs w:val="24"/>
        </w:rPr>
      </w:pPr>
      <w:r w:rsidRPr="0077354F">
        <w:rPr>
          <w:rFonts w:ascii="Times New Roman" w:hAnsi="Times New Roman"/>
          <w:b/>
          <w:sz w:val="24"/>
          <w:szCs w:val="24"/>
        </w:rPr>
        <w:lastRenderedPageBreak/>
        <w:t xml:space="preserve">2015: </w:t>
      </w:r>
      <w:r w:rsidRPr="0077354F">
        <w:rPr>
          <w:rFonts w:ascii="Times New Roman" w:hAnsi="Times New Roman"/>
          <w:sz w:val="24"/>
          <w:szCs w:val="24"/>
        </w:rPr>
        <w:t>100,00%</w:t>
      </w:r>
    </w:p>
    <w:p w:rsidR="00862710" w:rsidRPr="0077354F" w:rsidRDefault="00862710" w:rsidP="00862710">
      <w:pPr>
        <w:pStyle w:val="Paragrafoelenco"/>
        <w:numPr>
          <w:ilvl w:val="0"/>
          <w:numId w:val="81"/>
        </w:numPr>
        <w:rPr>
          <w:rFonts w:ascii="Times New Roman" w:hAnsi="Times New Roman"/>
          <w:b/>
          <w:bCs/>
          <w:sz w:val="24"/>
          <w:szCs w:val="24"/>
        </w:rPr>
      </w:pPr>
      <w:r w:rsidRPr="0077354F">
        <w:rPr>
          <w:rFonts w:ascii="Times New Roman" w:hAnsi="Times New Roman"/>
          <w:b/>
          <w:bCs/>
          <w:sz w:val="24"/>
          <w:szCs w:val="24"/>
        </w:rPr>
        <w:t xml:space="preserve">2016: </w:t>
      </w:r>
      <w:r w:rsidRPr="0077354F">
        <w:rPr>
          <w:rFonts w:ascii="Times New Roman" w:hAnsi="Times New Roman"/>
          <w:sz w:val="24"/>
          <w:szCs w:val="24"/>
        </w:rPr>
        <w:t>100,00%</w:t>
      </w:r>
    </w:p>
    <w:p w:rsidR="00862710" w:rsidRPr="0077354F" w:rsidRDefault="00862710" w:rsidP="00862710">
      <w:pPr>
        <w:pStyle w:val="Paragrafoelenco"/>
        <w:numPr>
          <w:ilvl w:val="0"/>
          <w:numId w:val="81"/>
        </w:numPr>
        <w:rPr>
          <w:rFonts w:ascii="Times New Roman" w:hAnsi="Times New Roman"/>
          <w:b/>
          <w:bCs/>
          <w:sz w:val="24"/>
          <w:szCs w:val="24"/>
        </w:rPr>
      </w:pPr>
      <w:r w:rsidRPr="0077354F">
        <w:rPr>
          <w:rFonts w:ascii="Times New Roman" w:hAnsi="Times New Roman"/>
          <w:b/>
          <w:bCs/>
          <w:sz w:val="24"/>
          <w:szCs w:val="24"/>
        </w:rPr>
        <w:t xml:space="preserve">2017: </w:t>
      </w:r>
      <w:r w:rsidRPr="0077354F">
        <w:rPr>
          <w:rFonts w:ascii="Times New Roman" w:hAnsi="Times New Roman"/>
          <w:sz w:val="24"/>
          <w:szCs w:val="24"/>
        </w:rPr>
        <w:t>81,85%</w:t>
      </w:r>
    </w:p>
    <w:p w:rsidR="00862710" w:rsidRPr="0077354F" w:rsidRDefault="00862710" w:rsidP="00862710">
      <w:pPr>
        <w:pStyle w:val="Paragrafoelenco"/>
        <w:ind w:left="1428"/>
        <w:rPr>
          <w:rFonts w:ascii="Times New Roman" w:hAnsi="Times New Roman"/>
          <w:b/>
          <w:bCs/>
          <w:sz w:val="24"/>
          <w:szCs w:val="24"/>
        </w:rPr>
      </w:pPr>
    </w:p>
    <w:p w:rsidR="00862710" w:rsidRDefault="00862710" w:rsidP="00862710">
      <w:pPr>
        <w:autoSpaceDE w:val="0"/>
        <w:autoSpaceDN w:val="0"/>
        <w:adjustRightInd w:val="0"/>
        <w:spacing w:after="120"/>
        <w:ind w:left="720"/>
        <w:jc w:val="both"/>
        <w:rPr>
          <w:rFonts w:ascii="Times New Roman" w:hAnsi="Times New Roman"/>
          <w:sz w:val="24"/>
        </w:rPr>
      </w:pPr>
      <w:r>
        <w:rPr>
          <w:noProof/>
          <w:lang w:eastAsia="it-IT"/>
        </w:rPr>
        <w:drawing>
          <wp:inline distT="0" distB="0" distL="0" distR="0" wp14:anchorId="6DE61359" wp14:editId="2E812110">
            <wp:extent cx="4572000" cy="2743200"/>
            <wp:effectExtent l="0" t="0" r="19050" b="1905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2710" w:rsidRPr="00E63330" w:rsidRDefault="00862710" w:rsidP="00862710">
      <w:pPr>
        <w:autoSpaceDE w:val="0"/>
        <w:autoSpaceDN w:val="0"/>
        <w:adjustRightInd w:val="0"/>
        <w:spacing w:after="120"/>
        <w:ind w:left="720"/>
        <w:jc w:val="both"/>
        <w:rPr>
          <w:rFonts w:ascii="Times New Roman" w:hAnsi="Times New Roman"/>
          <w:sz w:val="24"/>
        </w:rPr>
      </w:pPr>
    </w:p>
    <w:p w:rsidR="00862710" w:rsidRPr="00E63330" w:rsidRDefault="00862710" w:rsidP="00862710">
      <w:pPr>
        <w:jc w:val="both"/>
        <w:rPr>
          <w:rFonts w:ascii="Times New Roman" w:hAnsi="Times New Roman"/>
          <w:sz w:val="24"/>
          <w:szCs w:val="24"/>
        </w:rPr>
      </w:pPr>
    </w:p>
    <w:p w:rsidR="006A4F19" w:rsidRPr="00E63330" w:rsidRDefault="0096592E" w:rsidP="00C55A7F">
      <w:pPr>
        <w:spacing w:line="480" w:lineRule="auto"/>
        <w:rPr>
          <w:rFonts w:ascii="Times New Roman" w:eastAsia="Times New Roman" w:hAnsi="Times New Roman"/>
          <w:color w:val="000000"/>
          <w:sz w:val="14"/>
          <w:szCs w:val="24"/>
          <w:lang w:eastAsia="it-IT"/>
        </w:rPr>
      </w:pPr>
      <w:r w:rsidRPr="003C3367">
        <w:rPr>
          <w:rFonts w:ascii="Times New Roman" w:eastAsia="Times New Roman" w:hAnsi="Times New Roman"/>
          <w:color w:val="000000"/>
          <w:sz w:val="14"/>
          <w:szCs w:val="24"/>
          <w:lang w:eastAsia="it-IT"/>
        </w:rPr>
        <w:br w:type="page"/>
      </w:r>
    </w:p>
    <w:p w:rsidR="008676D4" w:rsidRPr="00E63330" w:rsidRDefault="008676D4" w:rsidP="00C55A7F">
      <w:pPr>
        <w:spacing w:line="480" w:lineRule="auto"/>
        <w:rPr>
          <w:rFonts w:ascii="Times New Roman" w:eastAsia="Times New Roman" w:hAnsi="Times New Roman"/>
          <w:color w:val="000000"/>
          <w:sz w:val="14"/>
          <w:szCs w:val="24"/>
          <w:lang w:eastAsia="it-IT"/>
        </w:rPr>
      </w:pPr>
    </w:p>
    <w:p w:rsidR="00F65185" w:rsidRPr="00E63330" w:rsidRDefault="00F65185" w:rsidP="00C55A7F">
      <w:pPr>
        <w:spacing w:line="480" w:lineRule="auto"/>
        <w:rPr>
          <w:rFonts w:ascii="Times New Roman" w:eastAsia="Times New Roman" w:hAnsi="Times New Roman"/>
          <w:color w:val="000000"/>
          <w:sz w:val="14"/>
          <w:szCs w:val="24"/>
          <w:lang w:eastAsia="it-IT"/>
        </w:rPr>
      </w:pPr>
    </w:p>
    <w:p w:rsidR="00F65185" w:rsidRPr="00E63330" w:rsidRDefault="00F65185" w:rsidP="00C55A7F">
      <w:pPr>
        <w:spacing w:line="480" w:lineRule="auto"/>
        <w:rPr>
          <w:rFonts w:ascii="Times New Roman" w:eastAsia="Times New Roman" w:hAnsi="Times New Roman"/>
          <w:color w:val="000000"/>
          <w:sz w:val="14"/>
          <w:szCs w:val="24"/>
          <w:lang w:eastAsia="it-IT"/>
        </w:rPr>
      </w:pPr>
    </w:p>
    <w:p w:rsidR="00F65185" w:rsidRPr="00E63330" w:rsidRDefault="00F65185" w:rsidP="00C55A7F">
      <w:pPr>
        <w:spacing w:line="480" w:lineRule="auto"/>
        <w:rPr>
          <w:rFonts w:ascii="Times New Roman" w:eastAsia="Times New Roman" w:hAnsi="Times New Roman"/>
          <w:color w:val="000000"/>
          <w:sz w:val="14"/>
          <w:szCs w:val="24"/>
          <w:lang w:eastAsia="it-IT"/>
        </w:rPr>
      </w:pPr>
    </w:p>
    <w:p w:rsidR="00F65185" w:rsidRPr="00E63330" w:rsidRDefault="00F65185" w:rsidP="00C55A7F">
      <w:pPr>
        <w:spacing w:line="480" w:lineRule="auto"/>
        <w:rPr>
          <w:rFonts w:ascii="Times New Roman" w:eastAsia="Times New Roman" w:hAnsi="Times New Roman"/>
          <w:color w:val="000000"/>
          <w:sz w:val="14"/>
          <w:szCs w:val="24"/>
          <w:lang w:eastAsia="it-IT"/>
        </w:rPr>
      </w:pPr>
    </w:p>
    <w:p w:rsidR="00F65185" w:rsidRPr="00E63330" w:rsidRDefault="00F65185" w:rsidP="00C55A7F">
      <w:pPr>
        <w:spacing w:line="480" w:lineRule="auto"/>
        <w:rPr>
          <w:rFonts w:ascii="Times New Roman" w:eastAsia="Times New Roman" w:hAnsi="Times New Roman"/>
          <w:color w:val="000000"/>
          <w:sz w:val="14"/>
          <w:szCs w:val="24"/>
          <w:lang w:eastAsia="it-IT"/>
        </w:rPr>
      </w:pPr>
    </w:p>
    <w:p w:rsidR="008676D4" w:rsidRPr="00E63330" w:rsidRDefault="008676D4" w:rsidP="00C55A7F">
      <w:pPr>
        <w:spacing w:line="480" w:lineRule="auto"/>
        <w:rPr>
          <w:rFonts w:ascii="Times New Roman" w:eastAsia="Times New Roman" w:hAnsi="Times New Roman"/>
          <w:color w:val="000000"/>
          <w:sz w:val="14"/>
          <w:szCs w:val="24"/>
          <w:lang w:eastAsia="it-IT"/>
        </w:rPr>
      </w:pPr>
    </w:p>
    <w:p w:rsidR="008676D4" w:rsidRPr="00E63330" w:rsidRDefault="008676D4" w:rsidP="00C55A7F">
      <w:pPr>
        <w:spacing w:line="480" w:lineRule="auto"/>
        <w:rPr>
          <w:rFonts w:ascii="Times New Roman" w:eastAsia="Times New Roman" w:hAnsi="Times New Roman"/>
          <w:color w:val="000000"/>
          <w:sz w:val="14"/>
          <w:szCs w:val="24"/>
          <w:lang w:eastAsia="it-IT"/>
        </w:rPr>
      </w:pPr>
    </w:p>
    <w:p w:rsidR="008676D4" w:rsidRPr="00E63330" w:rsidRDefault="008676D4" w:rsidP="00C55A7F">
      <w:pPr>
        <w:spacing w:line="480" w:lineRule="auto"/>
        <w:rPr>
          <w:rFonts w:ascii="Times New Roman" w:eastAsia="Times New Roman" w:hAnsi="Times New Roman"/>
          <w:color w:val="000000"/>
          <w:sz w:val="14"/>
          <w:szCs w:val="24"/>
          <w:lang w:eastAsia="it-IT"/>
        </w:rPr>
      </w:pPr>
    </w:p>
    <w:p w:rsidR="006A4F19" w:rsidRPr="00E63330" w:rsidRDefault="006A4F19" w:rsidP="00C55A7F">
      <w:pPr>
        <w:spacing w:line="480" w:lineRule="auto"/>
        <w:rPr>
          <w:rFonts w:ascii="Times New Roman" w:eastAsia="Times New Roman" w:hAnsi="Times New Roman"/>
          <w:color w:val="000000"/>
          <w:sz w:val="14"/>
          <w:szCs w:val="24"/>
          <w:lang w:eastAsia="it-IT"/>
        </w:rPr>
      </w:pPr>
    </w:p>
    <w:p w:rsidR="000C75DC" w:rsidRPr="00E63330" w:rsidRDefault="0096592E" w:rsidP="0027556C">
      <w:pPr>
        <w:pStyle w:val="Titolo"/>
      </w:pPr>
      <w:bookmarkStart w:id="63" w:name="_Toc1046956"/>
      <w:r w:rsidRPr="003C3367">
        <w:t>PARTE II- Gli obiettivi dell’ARCEA</w:t>
      </w:r>
      <w:bookmarkEnd w:id="63"/>
    </w:p>
    <w:p w:rsidR="00C249FD" w:rsidRPr="00E63330" w:rsidRDefault="00C249FD" w:rsidP="00C249FD">
      <w:pPr>
        <w:autoSpaceDE w:val="0"/>
        <w:autoSpaceDN w:val="0"/>
        <w:adjustRightInd w:val="0"/>
        <w:jc w:val="center"/>
        <w:rPr>
          <w:rFonts w:ascii="Times New Roman" w:hAnsi="Times New Roman"/>
          <w:b/>
          <w:bCs/>
          <w:sz w:val="48"/>
          <w:szCs w:val="48"/>
          <w:u w:val="single"/>
        </w:rPr>
      </w:pPr>
    </w:p>
    <w:p w:rsidR="00EC7C6C" w:rsidRPr="00E63330" w:rsidRDefault="0096592E" w:rsidP="00AD509A">
      <w:pPr>
        <w:autoSpaceDE w:val="0"/>
        <w:autoSpaceDN w:val="0"/>
        <w:adjustRightInd w:val="0"/>
        <w:jc w:val="both"/>
        <w:rPr>
          <w:rFonts w:ascii="Times New Roman" w:hAnsi="Times New Roman"/>
          <w:b/>
          <w:bCs/>
          <w:i/>
          <w:sz w:val="24"/>
          <w:szCs w:val="24"/>
          <w:u w:val="single"/>
        </w:rPr>
      </w:pPr>
      <w:r w:rsidRPr="003C3367">
        <w:rPr>
          <w:rFonts w:ascii="Times New Roman" w:hAnsi="Times New Roman"/>
          <w:b/>
          <w:bCs/>
          <w:sz w:val="48"/>
          <w:szCs w:val="48"/>
          <w:u w:val="single"/>
        </w:rPr>
        <w:br w:type="page"/>
      </w:r>
    </w:p>
    <w:p w:rsidR="000C75DC" w:rsidRPr="002F58B2" w:rsidRDefault="0096592E" w:rsidP="002F58B2">
      <w:pPr>
        <w:pStyle w:val="Titolo1"/>
        <w:numPr>
          <w:ilvl w:val="0"/>
          <w:numId w:val="37"/>
        </w:numPr>
      </w:pPr>
      <w:bookmarkStart w:id="64" w:name="_Toc1046957"/>
      <w:r w:rsidRPr="003C3367">
        <w:lastRenderedPageBreak/>
        <w:t>La scelta degli obiettivi</w:t>
      </w:r>
      <w:bookmarkEnd w:id="64"/>
    </w:p>
    <w:p w:rsidR="00205B07" w:rsidRPr="00E63330" w:rsidRDefault="00205B07" w:rsidP="00941D1D">
      <w:pPr>
        <w:autoSpaceDE w:val="0"/>
        <w:autoSpaceDN w:val="0"/>
        <w:adjustRightInd w:val="0"/>
        <w:spacing w:after="120" w:line="240" w:lineRule="auto"/>
        <w:rPr>
          <w:rFonts w:ascii="Times New Roman" w:hAnsi="Times New Roman"/>
          <w:sz w:val="24"/>
          <w:szCs w:val="24"/>
          <w:lang w:eastAsia="it-IT"/>
        </w:rPr>
      </w:pPr>
    </w:p>
    <w:p w:rsidR="001378E6" w:rsidRDefault="0096592E" w:rsidP="003C3367">
      <w:pPr>
        <w:autoSpaceDE w:val="0"/>
        <w:autoSpaceDN w:val="0"/>
        <w:adjustRightInd w:val="0"/>
        <w:spacing w:after="120" w:line="240" w:lineRule="auto"/>
        <w:jc w:val="both"/>
        <w:rPr>
          <w:rFonts w:ascii="Times New Roman" w:hAnsi="Times New Roman"/>
          <w:sz w:val="24"/>
          <w:szCs w:val="24"/>
          <w:lang w:eastAsia="it-IT"/>
        </w:rPr>
      </w:pPr>
      <w:r w:rsidRPr="003C3367">
        <w:rPr>
          <w:rFonts w:ascii="Times New Roman" w:hAnsi="Times New Roman"/>
          <w:sz w:val="24"/>
          <w:szCs w:val="24"/>
          <w:lang w:eastAsia="it-IT"/>
        </w:rPr>
        <w:t>Al fine di garantire la trasparenza della valutazione, gli obiettivi sono individuati, nel rispetto di quanto</w:t>
      </w:r>
      <w:r w:rsidR="009B7C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determinato dal d. </w:t>
      </w:r>
      <w:proofErr w:type="spellStart"/>
      <w:r w:rsidRPr="003C3367">
        <w:rPr>
          <w:rFonts w:ascii="Times New Roman" w:hAnsi="Times New Roman"/>
          <w:sz w:val="24"/>
          <w:szCs w:val="24"/>
          <w:lang w:eastAsia="it-IT"/>
        </w:rPr>
        <w:t>lgs</w:t>
      </w:r>
      <w:proofErr w:type="spellEnd"/>
      <w:r w:rsidRPr="003C3367">
        <w:rPr>
          <w:rFonts w:ascii="Times New Roman" w:hAnsi="Times New Roman"/>
          <w:sz w:val="24"/>
          <w:szCs w:val="24"/>
          <w:lang w:eastAsia="it-IT"/>
        </w:rPr>
        <w:t>. 27 ottobre 2009, n. 150, osservando i criteri descritti di seguito:</w:t>
      </w:r>
    </w:p>
    <w:p w:rsidR="008A1ED5" w:rsidRPr="00E63330" w:rsidRDefault="008A1ED5" w:rsidP="008A1ED5">
      <w:pPr>
        <w:autoSpaceDE w:val="0"/>
        <w:autoSpaceDN w:val="0"/>
        <w:adjustRightInd w:val="0"/>
        <w:spacing w:after="0" w:line="240" w:lineRule="auto"/>
        <w:rPr>
          <w:rFonts w:ascii="Times New Roman" w:hAnsi="Times New Roman"/>
          <w:sz w:val="24"/>
          <w:szCs w:val="24"/>
          <w:lang w:eastAsia="it-IT"/>
        </w:rPr>
      </w:pPr>
    </w:p>
    <w:p w:rsidR="008A1ED5" w:rsidRPr="00E63330" w:rsidRDefault="0096592E" w:rsidP="00942E2C">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con gli indirizzi politico-amministrativi forniti dall’Organismo di Direzione e</w:t>
      </w:r>
      <w:r w:rsidR="009B7CE6">
        <w:rPr>
          <w:rFonts w:ascii="Times New Roman" w:hAnsi="Times New Roman"/>
          <w:iCs/>
          <w:sz w:val="24"/>
          <w:szCs w:val="24"/>
          <w:lang w:eastAsia="it-IT"/>
        </w:rPr>
        <w:t xml:space="preserve"> </w:t>
      </w:r>
      <w:r w:rsidRPr="003C3367">
        <w:rPr>
          <w:rFonts w:ascii="Times New Roman" w:hAnsi="Times New Roman"/>
          <w:iCs/>
          <w:sz w:val="24"/>
          <w:szCs w:val="24"/>
          <w:lang w:eastAsia="it-IT"/>
        </w:rPr>
        <w:t>con le linee strategiche da esso delineate;</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del sistema di misurazione con il contesto di posizionamento dell’obiettivo;</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previsione di azioni di miglioramento;</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rilevanza dell’obiettivo nell’ambito delle attività svolte dalla Funzione/Servizio/Uffici;</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misurabilità dell’obiettivo;</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controllabilità dell’obiettivo;</w:t>
      </w:r>
    </w:p>
    <w:p w:rsidR="001378E6" w:rsidRDefault="0096592E" w:rsidP="003C3367">
      <w:pPr>
        <w:numPr>
          <w:ilvl w:val="0"/>
          <w:numId w:val="21"/>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 xml:space="preserve">chiarezza del limite temporale di riferimento. </w:t>
      </w:r>
    </w:p>
    <w:p w:rsidR="00BE6962" w:rsidRPr="00E63330" w:rsidRDefault="00BE6962" w:rsidP="00155746">
      <w:pPr>
        <w:autoSpaceDE w:val="0"/>
        <w:autoSpaceDN w:val="0"/>
        <w:adjustRightInd w:val="0"/>
        <w:spacing w:after="120" w:line="240" w:lineRule="auto"/>
        <w:ind w:left="714"/>
        <w:rPr>
          <w:rFonts w:ascii="Times New Roman" w:hAnsi="Times New Roman"/>
          <w:iCs/>
          <w:sz w:val="24"/>
          <w:szCs w:val="24"/>
          <w:lang w:eastAsia="it-IT"/>
        </w:rPr>
      </w:pPr>
    </w:p>
    <w:p w:rsidR="004611B7" w:rsidRPr="00E63330" w:rsidRDefault="0096592E" w:rsidP="002F58B2">
      <w:pPr>
        <w:pStyle w:val="Titolo1"/>
      </w:pPr>
      <w:bookmarkStart w:id="65" w:name="_Toc1046958"/>
      <w:r w:rsidRPr="003C3367">
        <w:t>Obiettivi Strategici</w:t>
      </w:r>
      <w:bookmarkEnd w:id="65"/>
    </w:p>
    <w:p w:rsidR="00C249FD"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Gli obiettivi strategici dell’ARCEA riflettono la</w:t>
      </w:r>
      <w:r w:rsidRPr="003C3367">
        <w:rPr>
          <w:rFonts w:ascii="Times New Roman" w:hAnsi="Times New Roman"/>
          <w:bCs/>
          <w:i/>
          <w:sz w:val="24"/>
          <w:szCs w:val="24"/>
        </w:rPr>
        <w:t xml:space="preserve"> </w:t>
      </w:r>
      <w:proofErr w:type="spellStart"/>
      <w:r w:rsidRPr="003C3367">
        <w:rPr>
          <w:rFonts w:ascii="Times New Roman" w:hAnsi="Times New Roman"/>
          <w:bCs/>
          <w:i/>
          <w:sz w:val="24"/>
          <w:szCs w:val="24"/>
        </w:rPr>
        <w:t>mission</w:t>
      </w:r>
      <w:proofErr w:type="spellEnd"/>
      <w:r w:rsidRPr="003C3367">
        <w:rPr>
          <w:rFonts w:ascii="Times New Roman" w:hAnsi="Times New Roman"/>
          <w:bCs/>
          <w:sz w:val="24"/>
          <w:szCs w:val="24"/>
        </w:rPr>
        <w:t xml:space="preserve"> dell’Organismo Pagatore che si colloca, come meglio esplicitato nella prima parte del Piano, in posizione di punto di raccordo fra Commissione Europea, Stato membro e Regione Calabria.</w:t>
      </w:r>
    </w:p>
    <w:p w:rsidR="00BB5EE4"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Per tali ragioni, sono stati parzialmente confermati gli obiettivi strategici già individuati nel precedente Piano, al fine di consentirne il conseguimento in un orizzonte temporale adeguato rispetto alla loro rilevanza. </w:t>
      </w:r>
    </w:p>
    <w:p w:rsidR="00EC7C6C"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Nello specifico, sono stati individuati i seguenti</w:t>
      </w:r>
      <w:r w:rsidR="009B7CE6">
        <w:rPr>
          <w:rFonts w:ascii="Times New Roman" w:hAnsi="Times New Roman"/>
          <w:bCs/>
          <w:sz w:val="24"/>
          <w:szCs w:val="24"/>
        </w:rPr>
        <w:t xml:space="preserve"> </w:t>
      </w:r>
      <w:r w:rsidRPr="003C3367">
        <w:rPr>
          <w:rFonts w:ascii="Times New Roman" w:hAnsi="Times New Roman"/>
          <w:bCs/>
          <w:sz w:val="24"/>
          <w:szCs w:val="24"/>
        </w:rPr>
        <w:t>tre</w:t>
      </w:r>
      <w:r w:rsidR="009B7CE6">
        <w:rPr>
          <w:rFonts w:ascii="Times New Roman" w:hAnsi="Times New Roman"/>
          <w:bCs/>
          <w:sz w:val="24"/>
          <w:szCs w:val="24"/>
        </w:rPr>
        <w:t xml:space="preserve"> </w:t>
      </w:r>
      <w:r w:rsidRPr="003C3367">
        <w:rPr>
          <w:rFonts w:ascii="Times New Roman" w:hAnsi="Times New Roman"/>
          <w:bCs/>
          <w:sz w:val="24"/>
          <w:szCs w:val="24"/>
        </w:rPr>
        <w:t>obiettivi strategici, coerenti con quanto prescritto dalla normativa comunitaria di riferimento che hanno riflessi immediati e tangibili nei confronti degli stakeholder dell’Agenzia:</w:t>
      </w:r>
    </w:p>
    <w:p w:rsidR="001378E6" w:rsidRDefault="0096592E" w:rsidP="003C3367">
      <w:pPr>
        <w:pStyle w:val="Corpotesto"/>
        <w:numPr>
          <w:ilvl w:val="0"/>
          <w:numId w:val="75"/>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Mantenimento dei criteri di riconoscimento quale Organismo Pagatore, ai sensi del Reg. (CE) n. 907/14;</w:t>
      </w:r>
    </w:p>
    <w:p w:rsidR="009B7CE6" w:rsidRDefault="0096592E" w:rsidP="00C249FD">
      <w:pPr>
        <w:pStyle w:val="Corpotesto"/>
        <w:numPr>
          <w:ilvl w:val="0"/>
          <w:numId w:val="75"/>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Raggiungimento degli obiettivi di spesa previsti dai regolamenti comunitari di riferimento per i Fondi FEAGA e FEASR;</w:t>
      </w:r>
    </w:p>
    <w:p w:rsidR="00602596" w:rsidRPr="009B7CE6" w:rsidRDefault="00602596" w:rsidP="00602596">
      <w:pPr>
        <w:pStyle w:val="Corpotesto"/>
        <w:numPr>
          <w:ilvl w:val="0"/>
          <w:numId w:val="75"/>
        </w:numPr>
        <w:tabs>
          <w:tab w:val="left" w:pos="851"/>
        </w:tabs>
        <w:spacing w:before="120"/>
        <w:jc w:val="both"/>
        <w:rPr>
          <w:rFonts w:ascii="Times New Roman" w:hAnsi="Times New Roman"/>
          <w:bCs/>
          <w:sz w:val="24"/>
          <w:szCs w:val="24"/>
        </w:rPr>
      </w:pPr>
      <w:r w:rsidRPr="003C3367">
        <w:rPr>
          <w:rFonts w:ascii="Times New Roman" w:hAnsi="Times New Roman"/>
          <w:sz w:val="24"/>
          <w:szCs w:val="24"/>
        </w:rPr>
        <w:t>Adeguamento delle funzionalità del sistema informativo, anche in funzione del Piano Triennale per l’Informatizzazione e di quanto disposto dal Reg (UE) 907/2014 in merito alla sicurezza delle informazioni</w:t>
      </w:r>
      <w:r>
        <w:rPr>
          <w:rFonts w:ascii="Times New Roman" w:hAnsi="Times New Roman"/>
          <w:sz w:val="24"/>
          <w:szCs w:val="24"/>
        </w:rPr>
        <w:t>.</w:t>
      </w:r>
    </w:p>
    <w:p w:rsidR="00FA0761" w:rsidRPr="00E63330" w:rsidRDefault="0096592E" w:rsidP="00FA0761">
      <w:pPr>
        <w:pStyle w:val="Corpotesto"/>
        <w:tabs>
          <w:tab w:val="left" w:pos="851"/>
        </w:tabs>
        <w:spacing w:before="120" w:after="0"/>
        <w:jc w:val="both"/>
        <w:rPr>
          <w:rFonts w:ascii="Times New Roman" w:hAnsi="Times New Roman"/>
          <w:sz w:val="24"/>
          <w:szCs w:val="24"/>
        </w:rPr>
      </w:pPr>
      <w:r w:rsidRPr="003C3367">
        <w:rPr>
          <w:rFonts w:ascii="Times New Roman" w:hAnsi="Times New Roman"/>
          <w:sz w:val="24"/>
          <w:szCs w:val="24"/>
        </w:rPr>
        <w:t>Gli obiettivi sono stati pesati in funzione della loro rilevanza e complessità ai fini del corretto svolgimento delle attività istituzionali.</w:t>
      </w:r>
    </w:p>
    <w:p w:rsidR="002B65FE" w:rsidRPr="00E63330" w:rsidRDefault="0096592E" w:rsidP="00FA0761">
      <w:pPr>
        <w:pStyle w:val="Corpotesto"/>
        <w:tabs>
          <w:tab w:val="left" w:pos="851"/>
        </w:tabs>
        <w:spacing w:before="120" w:after="0"/>
        <w:jc w:val="both"/>
        <w:rPr>
          <w:rFonts w:ascii="Times New Roman" w:hAnsi="Times New Roman"/>
          <w:sz w:val="24"/>
          <w:szCs w:val="24"/>
        </w:rPr>
      </w:pPr>
      <w:r w:rsidRPr="003C3367">
        <w:rPr>
          <w:rFonts w:ascii="Times New Roman" w:hAnsi="Times New Roman"/>
          <w:sz w:val="24"/>
          <w:szCs w:val="24"/>
        </w:rPr>
        <w:t>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rsidR="009138F7" w:rsidRPr="00E63330" w:rsidRDefault="0096592E" w:rsidP="00FA0761">
      <w:pPr>
        <w:pStyle w:val="Corpotesto"/>
        <w:tabs>
          <w:tab w:val="left" w:pos="851"/>
        </w:tabs>
        <w:spacing w:before="120" w:after="0"/>
        <w:jc w:val="both"/>
        <w:rPr>
          <w:rFonts w:ascii="Times New Roman" w:hAnsi="Times New Roman"/>
          <w:sz w:val="24"/>
          <w:szCs w:val="24"/>
        </w:rPr>
      </w:pPr>
      <w:bookmarkStart w:id="66" w:name="OLE_LINK208"/>
      <w:bookmarkStart w:id="67" w:name="OLE_LINK209"/>
      <w:r w:rsidRPr="003C3367">
        <w:rPr>
          <w:rFonts w:ascii="Times New Roman" w:hAnsi="Times New Roman"/>
          <w:sz w:val="24"/>
          <w:szCs w:val="24"/>
        </w:rPr>
        <w:t>Nel corrente anno, altresì, si è ritenuto di modificare l'Obiettivo Strategico n. 3 - riferito al Sistema Informativo dell'Agenzia</w:t>
      </w:r>
      <w:r w:rsidR="009B1713">
        <w:rPr>
          <w:rFonts w:ascii="Times New Roman" w:hAnsi="Times New Roman"/>
          <w:sz w:val="24"/>
          <w:szCs w:val="24"/>
        </w:rPr>
        <w:t xml:space="preserve">, </w:t>
      </w:r>
      <w:r w:rsidRPr="003C3367">
        <w:rPr>
          <w:rFonts w:ascii="Times New Roman" w:hAnsi="Times New Roman"/>
          <w:sz w:val="24"/>
          <w:szCs w:val="24"/>
        </w:rPr>
        <w:t xml:space="preserve">che dovrà evolversi per recepire quanto previsto dal Piano Triennale per </w:t>
      </w:r>
      <w:r w:rsidR="009B1713">
        <w:rPr>
          <w:rFonts w:ascii="Times New Roman" w:hAnsi="Times New Roman"/>
          <w:sz w:val="24"/>
          <w:szCs w:val="24"/>
        </w:rPr>
        <w:t>l‘</w:t>
      </w:r>
      <w:r w:rsidR="00B67442" w:rsidRPr="0096592E">
        <w:rPr>
          <w:rFonts w:ascii="Times New Roman" w:hAnsi="Times New Roman"/>
          <w:sz w:val="24"/>
          <w:szCs w:val="24"/>
        </w:rPr>
        <w:t>informatizzazione</w:t>
      </w:r>
      <w:r w:rsidRPr="003C3367">
        <w:rPr>
          <w:rFonts w:ascii="Times New Roman" w:hAnsi="Times New Roman"/>
          <w:sz w:val="24"/>
          <w:szCs w:val="24"/>
        </w:rPr>
        <w:t xml:space="preserve"> della Pubblica Amministrazione.</w:t>
      </w:r>
      <w:r w:rsidR="009B1713">
        <w:rPr>
          <w:rFonts w:ascii="Times New Roman" w:hAnsi="Times New Roman"/>
          <w:sz w:val="24"/>
          <w:szCs w:val="24"/>
        </w:rPr>
        <w:t xml:space="preserve"> </w:t>
      </w:r>
    </w:p>
    <w:bookmarkEnd w:id="66"/>
    <w:bookmarkEnd w:id="67"/>
    <w:p w:rsidR="00FB7DD2" w:rsidRPr="00E63330" w:rsidRDefault="00FB7DD2" w:rsidP="008C21A4">
      <w:pPr>
        <w:pStyle w:val="Corpotesto"/>
        <w:tabs>
          <w:tab w:val="left" w:pos="851"/>
        </w:tabs>
        <w:spacing w:before="120" w:after="0"/>
        <w:jc w:val="both"/>
        <w:rPr>
          <w:rFonts w:ascii="Times New Roman" w:hAnsi="Times New Roman"/>
          <w:sz w:val="1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FB7DD2" w:rsidRPr="00E63330" w:rsidTr="00530126">
        <w:tc>
          <w:tcPr>
            <w:tcW w:w="9778" w:type="dxa"/>
          </w:tcPr>
          <w:p w:rsidR="00FB7DD2" w:rsidRPr="00E63330" w:rsidRDefault="0096592E" w:rsidP="00962ACB">
            <w:pPr>
              <w:pStyle w:val="Corpotesto"/>
              <w:tabs>
                <w:tab w:val="left" w:pos="851"/>
              </w:tabs>
              <w:spacing w:before="120"/>
              <w:jc w:val="both"/>
              <w:rPr>
                <w:rFonts w:ascii="Times New Roman" w:hAnsi="Times New Roman"/>
                <w:sz w:val="24"/>
                <w:szCs w:val="24"/>
              </w:rPr>
            </w:pPr>
            <w:r w:rsidRPr="003C3367">
              <w:rPr>
                <w:rFonts w:ascii="Times New Roman" w:hAnsi="Times New Roman"/>
                <w:b/>
                <w:bCs/>
                <w:sz w:val="24"/>
                <w:szCs w:val="24"/>
                <w:u w:val="single"/>
              </w:rPr>
              <w:lastRenderedPageBreak/>
              <w:t>OBIETTIVO “1”</w:t>
            </w:r>
            <w:r w:rsidRPr="003C3367">
              <w:rPr>
                <w:rFonts w:ascii="Times New Roman" w:hAnsi="Times New Roman"/>
                <w:bCs/>
                <w:sz w:val="24"/>
                <w:szCs w:val="24"/>
              </w:rPr>
              <w:t xml:space="preserve">: </w:t>
            </w:r>
            <w:r w:rsidRPr="003C3367">
              <w:rPr>
                <w:rFonts w:ascii="Times New Roman" w:hAnsi="Times New Roman"/>
                <w:sz w:val="24"/>
                <w:szCs w:val="24"/>
              </w:rPr>
              <w:t>Mantenimento dei criteri di riconoscimento quale Organismo Pagatore, ai sensi del Reg. (CE) n. 907/14: (peso 40 %)</w:t>
            </w:r>
          </w:p>
        </w:tc>
      </w:tr>
    </w:tbl>
    <w:p w:rsidR="00FB7DD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Il mantenimento dei criteri di riconoscimento quale Organismo Pagatore costituisce obiettivo strategico primario per l’ARCEA, poiché si riconnette essenzialmente all’operatività dell’Ente rispetto agli obblighi imposti dalla normativa comunitaria di riferimento.</w:t>
      </w:r>
    </w:p>
    <w:p w:rsidR="006B48A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Il fine che l’Agenzia si propone perseguendo tale obiettivo è l’adozione di atti e l’implementazione di attività e procedure che consentono il pieno rispetto degli elevati standard qualitativi richiesti per la corretta erogazione dei servizi resi nei confronti della collettività, onde evitare, in ultima analisi, rilievi pregiudizievoli per il riconoscimento quale O.P. e l’applicazione di eventuali correzioni finanziarie a danno del bilancio dello Stato membro.</w:t>
      </w:r>
    </w:p>
    <w:p w:rsidR="005C7ECC" w:rsidRPr="00E63330" w:rsidRDefault="0096592E" w:rsidP="005C7ECC">
      <w:p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bCs/>
          <w:color w:val="000000"/>
          <w:sz w:val="24"/>
          <w:szCs w:val="24"/>
        </w:rPr>
        <w:t>In particolare, il Reg. n. 907/2014all’articolo 1 “</w:t>
      </w:r>
      <w:r w:rsidRPr="003C3367">
        <w:rPr>
          <w:rFonts w:ascii="Times New Roman" w:hAnsi="Times New Roman"/>
          <w:i/>
          <w:iCs/>
          <w:color w:val="000000"/>
          <w:sz w:val="24"/>
          <w:szCs w:val="24"/>
        </w:rPr>
        <w:t xml:space="preserve">Riconoscimento degli organismi pagatori” </w:t>
      </w:r>
      <w:r w:rsidRPr="003C3367">
        <w:rPr>
          <w:rFonts w:ascii="Times New Roman" w:hAnsi="Times New Roman"/>
          <w:iCs/>
          <w:color w:val="000000"/>
          <w:sz w:val="24"/>
          <w:szCs w:val="24"/>
        </w:rPr>
        <w:t>prevede che p</w:t>
      </w:r>
      <w:r w:rsidRPr="003C3367">
        <w:rPr>
          <w:rFonts w:ascii="Times New Roman" w:hAnsi="Times New Roman"/>
          <w:color w:val="000000"/>
          <w:sz w:val="24"/>
          <w:szCs w:val="24"/>
        </w:rPr>
        <w:t>er essere riconosciuti, gli Organismi pagatori, devono disporre, tra l’altro, di un sistema di controllo interno conforme ai criteri di cui all’allegato I del presente regolamento (di seguito «criteri per il riconoscimento») relativi ai seguenti aspetti:</w:t>
      </w:r>
    </w:p>
    <w:p w:rsidR="005C7ECC" w:rsidRPr="00E63330" w:rsidRDefault="0096592E" w:rsidP="00942E2C">
      <w:pPr>
        <w:numPr>
          <w:ilvl w:val="1"/>
          <w:numId w:val="42"/>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ambiente interno;</w:t>
      </w:r>
    </w:p>
    <w:p w:rsidR="005C7ECC" w:rsidRPr="00E63330" w:rsidRDefault="0096592E" w:rsidP="00942E2C">
      <w:pPr>
        <w:numPr>
          <w:ilvl w:val="1"/>
          <w:numId w:val="42"/>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attività di controllo;</w:t>
      </w:r>
    </w:p>
    <w:p w:rsidR="005C7ECC" w:rsidRPr="00E63330" w:rsidRDefault="0096592E" w:rsidP="00942E2C">
      <w:pPr>
        <w:numPr>
          <w:ilvl w:val="1"/>
          <w:numId w:val="42"/>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informazione e comunicazione;</w:t>
      </w:r>
    </w:p>
    <w:p w:rsidR="005C7ECC" w:rsidRPr="00E63330" w:rsidRDefault="0096592E" w:rsidP="00942E2C">
      <w:pPr>
        <w:numPr>
          <w:ilvl w:val="1"/>
          <w:numId w:val="42"/>
        </w:numPr>
        <w:spacing w:after="0"/>
        <w:jc w:val="both"/>
        <w:rPr>
          <w:rFonts w:ascii="Times New Roman" w:hAnsi="Times New Roman"/>
          <w:color w:val="000000"/>
          <w:sz w:val="24"/>
          <w:szCs w:val="24"/>
        </w:rPr>
      </w:pPr>
      <w:r w:rsidRPr="003C3367">
        <w:rPr>
          <w:rFonts w:ascii="Times New Roman" w:hAnsi="Times New Roman"/>
          <w:color w:val="000000"/>
          <w:sz w:val="24"/>
          <w:szCs w:val="24"/>
        </w:rPr>
        <w:t>monitoraggio.</w:t>
      </w:r>
    </w:p>
    <w:p w:rsidR="005D044C" w:rsidRPr="00E63330" w:rsidRDefault="005D044C" w:rsidP="002E7C70">
      <w:pPr>
        <w:autoSpaceDE w:val="0"/>
        <w:autoSpaceDN w:val="0"/>
        <w:adjustRightInd w:val="0"/>
        <w:spacing w:after="120"/>
        <w:jc w:val="both"/>
        <w:rPr>
          <w:rFonts w:ascii="Times New Roman" w:hAnsi="Times New Roman"/>
          <w:color w:val="000000"/>
          <w:sz w:val="6"/>
          <w:szCs w:val="24"/>
        </w:rPr>
      </w:pPr>
    </w:p>
    <w:p w:rsidR="005C7ECC" w:rsidRPr="00E63330" w:rsidRDefault="0096592E" w:rsidP="002E7C70">
      <w:pPr>
        <w:autoSpaceDE w:val="0"/>
        <w:autoSpaceDN w:val="0"/>
        <w:adjustRightInd w:val="0"/>
        <w:spacing w:after="120"/>
        <w:jc w:val="both"/>
        <w:rPr>
          <w:rFonts w:ascii="Times New Roman" w:hAnsi="Times New Roman"/>
          <w:color w:val="000000"/>
          <w:sz w:val="24"/>
          <w:szCs w:val="24"/>
        </w:rPr>
      </w:pPr>
      <w:r w:rsidRPr="003C3367">
        <w:rPr>
          <w:rFonts w:ascii="Times New Roman" w:hAnsi="Times New Roman"/>
          <w:color w:val="000000"/>
          <w:sz w:val="24"/>
          <w:szCs w:val="24"/>
        </w:rPr>
        <w:t>L’obiettivo strategico di che trattasi consiste, quindi, nel garantire l’efficienza e l’adeguatezza dei sistema dei controlli interni dell’Agenzia nel rispetto della normativa di riferimento allo scopo di:</w:t>
      </w:r>
    </w:p>
    <w:p w:rsidR="005C7ECC" w:rsidRPr="00E63330" w:rsidRDefault="0096592E" w:rsidP="00942E2C">
      <w:pPr>
        <w:numPr>
          <w:ilvl w:val="0"/>
          <w:numId w:val="43"/>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le procedure adottate dall’OP garantiscano il rispetto delle leggi e dei regolamenti comunitari;</w:t>
      </w:r>
    </w:p>
    <w:p w:rsidR="005C7ECC" w:rsidRPr="00E63330" w:rsidRDefault="0096592E" w:rsidP="00942E2C">
      <w:pPr>
        <w:numPr>
          <w:ilvl w:val="0"/>
          <w:numId w:val="43"/>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la contabilità sia accurata, completa e tempestiva;</w:t>
      </w:r>
    </w:p>
    <w:p w:rsidR="005C7ECC" w:rsidRPr="00E63330" w:rsidRDefault="0096592E" w:rsidP="00942E2C">
      <w:pPr>
        <w:numPr>
          <w:ilvl w:val="0"/>
          <w:numId w:val="43"/>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i controlli previsti siano effettivamente eseguiti, segnalando gli eventuali disallineamenti e le possibili azioni correttive;</w:t>
      </w:r>
    </w:p>
    <w:p w:rsidR="005C7ECC" w:rsidRPr="00E63330" w:rsidRDefault="0096592E" w:rsidP="00942E2C">
      <w:pPr>
        <w:numPr>
          <w:ilvl w:val="0"/>
          <w:numId w:val="43"/>
        </w:numPr>
        <w:spacing w:after="120"/>
        <w:jc w:val="both"/>
        <w:rPr>
          <w:rFonts w:ascii="Times New Roman" w:hAnsi="Times New Roman"/>
          <w:color w:val="000000"/>
          <w:sz w:val="24"/>
          <w:szCs w:val="24"/>
        </w:rPr>
      </w:pPr>
      <w:r w:rsidRPr="003C3367">
        <w:rPr>
          <w:rFonts w:ascii="Times New Roman" w:hAnsi="Times New Roman"/>
          <w:color w:val="000000"/>
          <w:sz w:val="24"/>
          <w:szCs w:val="24"/>
        </w:rPr>
        <w:t>identificare, prevenire e gestire i potenziali rischi normativi ed operativi cui l’OP è soggetto;</w:t>
      </w:r>
    </w:p>
    <w:p w:rsidR="005C7ECC" w:rsidRPr="00E63330" w:rsidRDefault="0096592E" w:rsidP="00942E2C">
      <w:pPr>
        <w:numPr>
          <w:ilvl w:val="0"/>
          <w:numId w:val="43"/>
        </w:numPr>
        <w:spacing w:after="120"/>
        <w:jc w:val="both"/>
        <w:rPr>
          <w:rFonts w:ascii="Times New Roman" w:hAnsi="Times New Roman"/>
          <w:color w:val="000000"/>
          <w:sz w:val="24"/>
          <w:szCs w:val="24"/>
        </w:rPr>
      </w:pPr>
      <w:r w:rsidRPr="003C3367">
        <w:rPr>
          <w:rFonts w:ascii="Times New Roman" w:hAnsi="Times New Roman"/>
          <w:color w:val="000000"/>
          <w:sz w:val="24"/>
          <w:szCs w:val="24"/>
        </w:rPr>
        <w:t>monitorare l’efficacia e l’efficienza dei controlli insiti nelle procedure operative stesse e consentire l’individuazione di opportunità di miglioramento dell’efficacia e dell’efficienza del sistema di controllo interno dell’OP.</w:t>
      </w:r>
    </w:p>
    <w:p w:rsidR="00700AF7"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Si rileva, inoltre, che il rispetto delle disposizioni riguardanti l’”Ambiente Interno” producono i propri effetti sulla struttura organizzativa dell’ARCEA nel suo complesso, senza distinzione, dunque, fra Uffici di “funzionamento” ed Uffici “comunitari” dell’Agenzia.</w:t>
      </w:r>
    </w:p>
    <w:p w:rsidR="003967F3"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w:t>
      </w:r>
    </w:p>
    <w:p w:rsidR="002F5A97" w:rsidRPr="00E63330" w:rsidRDefault="0096592E" w:rsidP="002E7C70">
      <w:pPr>
        <w:pStyle w:val="Corpotesto"/>
        <w:tabs>
          <w:tab w:val="left" w:pos="851"/>
        </w:tabs>
        <w:spacing w:before="120"/>
        <w:jc w:val="both"/>
        <w:rPr>
          <w:rFonts w:ascii="Times New Roman" w:hAnsi="Times New Roman"/>
          <w:bCs/>
          <w:sz w:val="24"/>
          <w:szCs w:val="24"/>
        </w:rPr>
      </w:pPr>
      <w:bookmarkStart w:id="68" w:name="OLE_LINK107"/>
      <w:bookmarkStart w:id="69" w:name="OLE_LINK108"/>
      <w:r w:rsidRPr="003C3367">
        <w:rPr>
          <w:rFonts w:ascii="Times New Roman" w:hAnsi="Times New Roman"/>
          <w:bCs/>
          <w:sz w:val="24"/>
          <w:szCs w:val="24"/>
        </w:rPr>
        <w:t xml:space="preserve">Attraverso la definizione del presente obiettivo si realizza la necessaria interconnessione tra il presente Piano della Performance e quello per la Prevenzione della Corruzione e della Trasparenza. </w:t>
      </w:r>
    </w:p>
    <w:p w:rsidR="00DA2553"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lastRenderedPageBreak/>
        <w:t>In particolare, sono previsti due obiettivi operativi integralmente dedicati ai predetti aspetti, totalmente riferiti agli obiettivi ed agli indicatori presenti nel PPCT.</w:t>
      </w:r>
    </w:p>
    <w:p w:rsidR="00E1796E"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Dal 2017, inoltre, il presente Obiettivo Strategico è st</w:t>
      </w:r>
      <w:r w:rsidR="00A52606">
        <w:rPr>
          <w:rFonts w:ascii="Times New Roman" w:hAnsi="Times New Roman"/>
          <w:bCs/>
          <w:sz w:val="24"/>
          <w:szCs w:val="24"/>
        </w:rPr>
        <w:t>ato anche riconnesso</w:t>
      </w:r>
      <w:r w:rsidRPr="003C3367">
        <w:rPr>
          <w:rFonts w:ascii="Times New Roman" w:hAnsi="Times New Roman"/>
          <w:bCs/>
          <w:sz w:val="24"/>
          <w:szCs w:val="24"/>
        </w:rPr>
        <w:t xml:space="preserve">, in ossequio a quanto espresso dall’OIV, ad indicatori attestanti la salute finanziaria dell’Ente. </w:t>
      </w:r>
      <w:bookmarkEnd w:id="68"/>
      <w:bookmarkEnd w:id="69"/>
    </w:p>
    <w:p w:rsidR="009B1713" w:rsidRDefault="009B1713" w:rsidP="00FB7DD2">
      <w:pPr>
        <w:pStyle w:val="Corpotesto"/>
        <w:tabs>
          <w:tab w:val="left" w:pos="851"/>
        </w:tabs>
        <w:spacing w:before="120"/>
        <w:jc w:val="both"/>
        <w:rPr>
          <w:rFonts w:ascii="Times New Roman" w:hAnsi="Times New Roman"/>
          <w:color w:val="000000"/>
          <w:sz w:val="24"/>
          <w:szCs w:val="24"/>
          <w:lang w:eastAsia="it-IT"/>
        </w:rPr>
      </w:pPr>
      <w:r>
        <w:rPr>
          <w:rFonts w:ascii="Times New Roman" w:hAnsi="Times New Roman"/>
          <w:bCs/>
          <w:sz w:val="24"/>
          <w:szCs w:val="24"/>
        </w:rPr>
        <w:t>A p</w:t>
      </w:r>
      <w:r w:rsidR="006362A5">
        <w:rPr>
          <w:rFonts w:ascii="Times New Roman" w:hAnsi="Times New Roman"/>
          <w:bCs/>
          <w:sz w:val="24"/>
          <w:szCs w:val="24"/>
        </w:rPr>
        <w:t xml:space="preserve">artire dal presente Piano, con il fine di esplicitare ulteriormente l’attenzione dell’Agenzia verso tale fondamentale aspetto, è stato creato uno specifico obiettivo operativo, misurato attraverso appositi marcatori connessi alle seguenti dimensioni: </w:t>
      </w:r>
      <w:r w:rsidR="006362A5" w:rsidRPr="003C3367">
        <w:rPr>
          <w:rFonts w:ascii="Times New Roman" w:hAnsi="Times New Roman"/>
          <w:color w:val="000000"/>
          <w:sz w:val="24"/>
          <w:szCs w:val="24"/>
          <w:lang w:eastAsia="it-IT"/>
        </w:rPr>
        <w:t>equilibrio economico-finanziario, entrate, rapporto spese/costi, patrimonio, indebitamento</w:t>
      </w:r>
      <w:r w:rsidR="006362A5">
        <w:rPr>
          <w:rFonts w:ascii="Times New Roman" w:hAnsi="Times New Roman"/>
          <w:color w:val="000000"/>
          <w:sz w:val="24"/>
          <w:szCs w:val="24"/>
          <w:lang w:eastAsia="it-IT"/>
        </w:rPr>
        <w:t xml:space="preserve">. </w:t>
      </w:r>
    </w:p>
    <w:p w:rsidR="00B67442" w:rsidRPr="00E63330" w:rsidRDefault="00B67442" w:rsidP="00FB7DD2">
      <w:pPr>
        <w:pStyle w:val="Corpo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B33264" w:rsidRPr="00E63330" w:rsidTr="00530126">
        <w:tc>
          <w:tcPr>
            <w:tcW w:w="9778" w:type="dxa"/>
          </w:tcPr>
          <w:p w:rsidR="00B33264" w:rsidRPr="00E63330" w:rsidRDefault="0096592E" w:rsidP="00962ACB">
            <w:pPr>
              <w:pStyle w:val="Corpotesto"/>
              <w:tabs>
                <w:tab w:val="left" w:pos="0"/>
              </w:tabs>
              <w:spacing w:before="120"/>
              <w:jc w:val="both"/>
              <w:rPr>
                <w:rFonts w:ascii="Times New Roman" w:hAnsi="Times New Roman"/>
                <w:bCs/>
                <w:sz w:val="24"/>
                <w:szCs w:val="24"/>
              </w:rPr>
            </w:pPr>
            <w:r w:rsidRPr="003C3367">
              <w:rPr>
                <w:rFonts w:ascii="Times New Roman" w:hAnsi="Times New Roman"/>
                <w:b/>
                <w:bCs/>
                <w:sz w:val="24"/>
                <w:szCs w:val="24"/>
                <w:u w:val="single"/>
              </w:rPr>
              <w:t>OBIETTIVO “2”</w:t>
            </w:r>
            <w:r w:rsidRPr="003C3367">
              <w:rPr>
                <w:rFonts w:ascii="Times New Roman" w:hAnsi="Times New Roman"/>
                <w:bCs/>
                <w:sz w:val="24"/>
                <w:szCs w:val="24"/>
              </w:rPr>
              <w:t>: Raggiungimento degli obiettivi di spesa previsti dai regolamenti comunitari di riferimento per i Fondi FEAGA e FEASR</w:t>
            </w:r>
            <w:r w:rsidRPr="003C3367">
              <w:rPr>
                <w:rFonts w:ascii="Times New Roman" w:hAnsi="Times New Roman"/>
                <w:sz w:val="24"/>
                <w:szCs w:val="24"/>
              </w:rPr>
              <w:t>: (peso 30 %)</w:t>
            </w:r>
          </w:p>
        </w:tc>
      </w:tr>
    </w:tbl>
    <w:p w:rsidR="00E1796E" w:rsidRPr="00E63330" w:rsidRDefault="00E1796E" w:rsidP="00FB7DD2">
      <w:pPr>
        <w:pStyle w:val="Corpotesto"/>
        <w:tabs>
          <w:tab w:val="left" w:pos="851"/>
        </w:tabs>
        <w:spacing w:before="120"/>
        <w:jc w:val="both"/>
        <w:rPr>
          <w:rFonts w:ascii="Times New Roman" w:hAnsi="Times New Roman"/>
          <w:bCs/>
          <w:sz w:val="12"/>
          <w:szCs w:val="24"/>
        </w:rPr>
      </w:pPr>
    </w:p>
    <w:p w:rsidR="0059089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La gestione dei Fondi FEAGA e FEASR di cui al Regolamento (UE) del Consiglio n. 1307/13, impone all’Organismo Pagatore di raggiungere dei precisi target di spesa onde evitare il disimpegno automatiche di risorse previste per ciascun anno ovvero per ciascuna campagna di riferimento.</w:t>
      </w:r>
    </w:p>
    <w:p w:rsidR="0059089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rsidR="00B33264"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dell’ “n+3” che consente all’Organismo Pagatore di effettuare i pagamenti entro i tre anni successivi a quello di riferimento.</w:t>
      </w:r>
    </w:p>
    <w:p w:rsidR="00697CEF"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sidR="009B7CE6">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rsidR="00E1796E" w:rsidRPr="00E63330" w:rsidRDefault="00E1796E" w:rsidP="00FB7DD2">
      <w:pPr>
        <w:pStyle w:val="Corpo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697CEF" w:rsidRPr="00E63330" w:rsidTr="00530126">
        <w:tc>
          <w:tcPr>
            <w:tcW w:w="9778" w:type="dxa"/>
          </w:tcPr>
          <w:p w:rsidR="001378E6" w:rsidRDefault="0096592E" w:rsidP="003C3367">
            <w:pPr>
              <w:pStyle w:val="Corpotesto"/>
              <w:tabs>
                <w:tab w:val="left" w:pos="426"/>
              </w:tabs>
              <w:spacing w:before="120" w:after="0"/>
              <w:jc w:val="both"/>
              <w:rPr>
                <w:rFonts w:ascii="Times New Roman" w:hAnsi="Times New Roman"/>
                <w:sz w:val="24"/>
                <w:szCs w:val="24"/>
              </w:rPr>
            </w:pPr>
            <w:r w:rsidRPr="003C3367">
              <w:rPr>
                <w:rFonts w:ascii="Times New Roman" w:hAnsi="Times New Roman"/>
                <w:b/>
                <w:bCs/>
                <w:sz w:val="24"/>
                <w:szCs w:val="24"/>
                <w:u w:val="single"/>
              </w:rPr>
              <w:t>OBIETTIVO “3”</w:t>
            </w:r>
            <w:r w:rsidRPr="003C3367">
              <w:rPr>
                <w:rFonts w:ascii="Times New Roman" w:hAnsi="Times New Roman"/>
                <w:bCs/>
                <w:sz w:val="24"/>
                <w:szCs w:val="24"/>
              </w:rPr>
              <w:t xml:space="preserve">: </w:t>
            </w:r>
            <w:bookmarkStart w:id="70" w:name="OLE_LINK92"/>
            <w:bookmarkStart w:id="71" w:name="OLE_LINK93"/>
            <w:bookmarkStart w:id="72" w:name="OLE_LINK94"/>
            <w:bookmarkStart w:id="73" w:name="OLE_LINK170"/>
            <w:bookmarkStart w:id="74" w:name="OLE_LINK171"/>
            <w:bookmarkStart w:id="75" w:name="OLE_LINK172"/>
            <w:bookmarkStart w:id="76" w:name="OLE_LINK195"/>
            <w:bookmarkStart w:id="77" w:name="OLE_LINK196"/>
            <w:bookmarkStart w:id="78" w:name="OLE_LINK197"/>
            <w:r w:rsidRPr="003C3367">
              <w:rPr>
                <w:rFonts w:ascii="Times New Roman" w:hAnsi="Times New Roman"/>
                <w:sz w:val="24"/>
                <w:szCs w:val="24"/>
              </w:rPr>
              <w:t>Adeguamento delle funzionalità del sistema informativo, anche in funzione del Piano Triennale per l’Informatizzazione e di quanto disposto dal Reg (UE) 907/2014 in merito alla sicurezza delle informazioni (peso: 30%)</w:t>
            </w:r>
            <w:bookmarkEnd w:id="70"/>
            <w:bookmarkEnd w:id="71"/>
            <w:bookmarkEnd w:id="72"/>
            <w:bookmarkEnd w:id="73"/>
            <w:bookmarkEnd w:id="74"/>
            <w:bookmarkEnd w:id="75"/>
            <w:bookmarkEnd w:id="76"/>
            <w:bookmarkEnd w:id="77"/>
            <w:bookmarkEnd w:id="78"/>
          </w:p>
        </w:tc>
      </w:tr>
    </w:tbl>
    <w:p w:rsidR="00FB7DD2" w:rsidRPr="00E63330" w:rsidRDefault="00FB7DD2" w:rsidP="00FB7DD2">
      <w:pPr>
        <w:pStyle w:val="Corpotesto"/>
        <w:jc w:val="both"/>
        <w:rPr>
          <w:rFonts w:ascii="Times New Roman" w:hAnsi="Times New Roman"/>
          <w:sz w:val="10"/>
        </w:rPr>
      </w:pPr>
    </w:p>
    <w:p w:rsidR="00135AB3" w:rsidRPr="00E63330" w:rsidRDefault="0096592E" w:rsidP="005D044C">
      <w:pPr>
        <w:pStyle w:val="Corpotesto"/>
        <w:jc w:val="both"/>
        <w:rPr>
          <w:rFonts w:ascii="Times New Roman" w:hAnsi="Times New Roman"/>
          <w:sz w:val="24"/>
          <w:szCs w:val="24"/>
        </w:rPr>
      </w:pPr>
      <w:bookmarkStart w:id="79" w:name="OLE_LINK210"/>
      <w:bookmarkStart w:id="80" w:name="OLE_LINK211"/>
      <w:bookmarkStart w:id="81" w:name="OLE_LINK212"/>
      <w:r w:rsidRPr="003C3367">
        <w:rPr>
          <w:rFonts w:ascii="Times New Roman" w:hAnsi="Times New Roman"/>
          <w:sz w:val="24"/>
          <w:szCs w:val="24"/>
        </w:rPr>
        <w:t xml:space="preserve">L'ARCEA, al fine di assolvere adeguatamente ai propri compiti istituzionali, si avvale di un sistema informativo complesso ed articolato che deve necessariamente essere basato, ai sensi del Reg. (UE) 907/2014, su una norma internazionale di Sicurezza delle Informazioni ed in particolare sulla ISO 27002. </w:t>
      </w:r>
    </w:p>
    <w:p w:rsidR="00A06699" w:rsidRPr="00E63330" w:rsidRDefault="0096592E" w:rsidP="005D044C">
      <w:pPr>
        <w:pStyle w:val="Corpotesto"/>
        <w:jc w:val="both"/>
        <w:rPr>
          <w:rFonts w:ascii="Times New Roman" w:hAnsi="Times New Roman"/>
          <w:sz w:val="24"/>
          <w:szCs w:val="24"/>
        </w:rPr>
      </w:pPr>
      <w:r w:rsidRPr="003C3367">
        <w:rPr>
          <w:rFonts w:ascii="Times New Roman" w:hAnsi="Times New Roman"/>
          <w:sz w:val="24"/>
          <w:szCs w:val="24"/>
        </w:rPr>
        <w:lastRenderedPageBreak/>
        <w:t>L’Agenzia, però, deve anche garantire il rispetto delle normative nazionali sull’informatizzazione delle Pubbliche Amministrazioni che, sotto la guida dell’Agenzia per l’Italia Digitale, sono chiamate ad intraprendere un percorso finalizzato a fornire ai cittadini servizi sempre più efficienti, moderni e semplici da utilizzare, avvicinando, di fatto, la complessa ed articolata macchina statale alle esigenze ed alle necessità quotidiane della collettività.</w:t>
      </w:r>
    </w:p>
    <w:p w:rsidR="001378E6" w:rsidRDefault="0096592E" w:rsidP="003C3367">
      <w:pPr>
        <w:pStyle w:val="Corpotesto"/>
        <w:jc w:val="both"/>
        <w:rPr>
          <w:rFonts w:ascii="Times New Roman" w:hAnsi="Times New Roman"/>
          <w:sz w:val="24"/>
          <w:szCs w:val="24"/>
        </w:rPr>
      </w:pPr>
      <w:r w:rsidRPr="003C3367">
        <w:rPr>
          <w:rFonts w:ascii="Times New Roman" w:hAnsi="Times New Roman"/>
          <w:sz w:val="24"/>
          <w:szCs w:val="24"/>
        </w:rPr>
        <w:t xml:space="preserve">Per comprendere al meglio le trasformazioni in corso d’opera, è necessario considerare che l’intero processo di ammodernamento della p.a. si pone nel solco tracciato dal Piano Triennale per l’informatica nella Pubblica Amministrazione che, varato nel Maggio del 2017, rappresenta il documento di indirizzo strategico ed economico attraverso il quale viene declinato il Modello di evoluzione del sistema informativo della Pubblica amministrazione. </w:t>
      </w:r>
    </w:p>
    <w:p w:rsidR="001378E6" w:rsidRDefault="0096592E" w:rsidP="003C3367">
      <w:pPr>
        <w:pStyle w:val="Corpotesto"/>
        <w:jc w:val="both"/>
        <w:rPr>
          <w:rFonts w:ascii="Times New Roman" w:hAnsi="Times New Roman"/>
          <w:sz w:val="24"/>
          <w:szCs w:val="24"/>
        </w:rPr>
      </w:pPr>
      <w:r w:rsidRPr="003C3367">
        <w:rPr>
          <w:rFonts w:ascii="Times New Roman" w:hAnsi="Times New Roman"/>
          <w:sz w:val="24"/>
          <w:szCs w:val="24"/>
        </w:rPr>
        <w:t xml:space="preserve">In dettaglio, il Piano, nato per guidare operativamente la trasformazione digitale del Paese e diventare il punto di riferimento per tutte le amministrazioni nello sviluppo dei propri sistemi informativi, definisce le linee guida della strategia operativa di sviluppo dell’informatica pubblica, fissando i principi architetturali fondamentali, le regole di usabilità e interoperabilità e precisando la logica di classificazione delle spese in ambito digitale. </w:t>
      </w:r>
    </w:p>
    <w:p w:rsidR="001378E6" w:rsidRDefault="0096592E" w:rsidP="003C3367">
      <w:pPr>
        <w:pStyle w:val="Corpotesto"/>
        <w:jc w:val="both"/>
        <w:rPr>
          <w:rFonts w:ascii="Times New Roman" w:hAnsi="Times New Roman"/>
          <w:sz w:val="24"/>
          <w:szCs w:val="24"/>
        </w:rPr>
      </w:pPr>
      <w:r w:rsidRPr="003C3367">
        <w:rPr>
          <w:rFonts w:ascii="Times New Roman" w:hAnsi="Times New Roman"/>
          <w:sz w:val="24"/>
          <w:szCs w:val="24"/>
        </w:rPr>
        <w:t>In linea con quanto previsto dalla Strategia “Europa 2020”, che indica nello sviluppo di “un mercato digitale unico europeo” la leva principale per incidere su temi fondamentali quali l’occupazione, l’istruzione, l’integrazione sociale e la salvaguardia del clima, lasciando a tutti gli Stati membri il compito di definire le priorità e le strategie nazionali, il Piano propone alle pubbliche amministrazioni strumenti per contribuire allo sviluppo e alla crescita dell’economia generale dell’Italia nel suo complesso, attraverso lo snellimento dei procedimenti burocratici, la maggiore trasparenza dei processi amministrativi, un’incrementata efficienza nell’erogazione dei servizi pubblici e la razionalizzazione della spesa informatica.</w:t>
      </w:r>
    </w:p>
    <w:p w:rsidR="00775D30" w:rsidRPr="00E63330" w:rsidRDefault="0096592E" w:rsidP="005D044C">
      <w:pPr>
        <w:pStyle w:val="Corpotesto"/>
        <w:jc w:val="both"/>
        <w:rPr>
          <w:rFonts w:ascii="Times New Roman" w:hAnsi="Times New Roman"/>
          <w:sz w:val="24"/>
          <w:szCs w:val="24"/>
        </w:rPr>
      </w:pPr>
      <w:r w:rsidRPr="003C3367">
        <w:rPr>
          <w:rFonts w:ascii="Times New Roman" w:hAnsi="Times New Roman"/>
          <w:sz w:val="24"/>
          <w:szCs w:val="24"/>
        </w:rPr>
        <w:t xml:space="preserve">In tale contesto, l’ARCEA ha individuato, al termine di un’analisi dei propri processi, alcune aree prioritarie di intervento che possono essere sintetizzate nell’adesione al Sistema Pubblico di Identità Digitale </w:t>
      </w:r>
      <w:r w:rsidR="00B67442">
        <w:rPr>
          <w:rFonts w:ascii="Times New Roman" w:hAnsi="Times New Roman"/>
          <w:sz w:val="24"/>
          <w:szCs w:val="24"/>
        </w:rPr>
        <w:t xml:space="preserve">(SPID) </w:t>
      </w:r>
      <w:r w:rsidRPr="003C3367">
        <w:rPr>
          <w:rFonts w:ascii="Times New Roman" w:hAnsi="Times New Roman"/>
          <w:sz w:val="24"/>
          <w:szCs w:val="24"/>
        </w:rPr>
        <w:t>e nell’introduzione di un nuovo sistema di protocollazione e</w:t>
      </w:r>
      <w:r w:rsidR="00D90F50">
        <w:rPr>
          <w:rFonts w:ascii="Times New Roman" w:hAnsi="Times New Roman"/>
          <w:sz w:val="24"/>
          <w:szCs w:val="24"/>
        </w:rPr>
        <w:t>/o</w:t>
      </w:r>
      <w:r w:rsidRPr="003C3367">
        <w:rPr>
          <w:rFonts w:ascii="Times New Roman" w:hAnsi="Times New Roman"/>
          <w:sz w:val="24"/>
          <w:szCs w:val="24"/>
        </w:rPr>
        <w:t xml:space="preserve"> gestione documentale in grado soprattutto di migliorare il flusso operativo correlato ai documenti </w:t>
      </w:r>
      <w:proofErr w:type="spellStart"/>
      <w:r w:rsidRPr="003C3367">
        <w:rPr>
          <w:rFonts w:ascii="Times New Roman" w:hAnsi="Times New Roman"/>
          <w:sz w:val="24"/>
          <w:szCs w:val="24"/>
        </w:rPr>
        <w:t>nativamente</w:t>
      </w:r>
      <w:proofErr w:type="spellEnd"/>
      <w:r w:rsidRPr="003C3367">
        <w:rPr>
          <w:rFonts w:ascii="Times New Roman" w:hAnsi="Times New Roman"/>
          <w:sz w:val="24"/>
          <w:szCs w:val="24"/>
        </w:rPr>
        <w:t xml:space="preserve"> digitali, quali ad esempio quelli pervenuti via PEC o sottoscritti con firma elettronica. </w:t>
      </w:r>
    </w:p>
    <w:bookmarkEnd w:id="79"/>
    <w:bookmarkEnd w:id="80"/>
    <w:bookmarkEnd w:id="81"/>
    <w:p w:rsidR="005D3DDB" w:rsidRPr="00E63330" w:rsidRDefault="005D3DDB" w:rsidP="005D3DDB">
      <w:pPr>
        <w:pStyle w:val="Corpotesto"/>
        <w:tabs>
          <w:tab w:val="left" w:pos="851"/>
        </w:tabs>
        <w:spacing w:before="120" w:after="0"/>
        <w:jc w:val="both"/>
        <w:rPr>
          <w:rFonts w:ascii="Times New Roman" w:hAnsi="Times New Roman"/>
          <w:sz w:val="2"/>
          <w:szCs w:val="24"/>
        </w:rPr>
      </w:pPr>
    </w:p>
    <w:p w:rsidR="00A503A2" w:rsidRPr="00E63330" w:rsidRDefault="0096592E" w:rsidP="002F58B2">
      <w:pPr>
        <w:pStyle w:val="Titolo1"/>
      </w:pPr>
      <w:bookmarkStart w:id="82" w:name="_Toc1046959"/>
      <w:r w:rsidRPr="003C3367">
        <w:t>Dagli obiettivi strategici agli obiettivi operativi</w:t>
      </w:r>
      <w:bookmarkEnd w:id="82"/>
    </w:p>
    <w:p w:rsidR="00582A16" w:rsidRPr="00E63330" w:rsidRDefault="0096592E" w:rsidP="00913262">
      <w:pPr>
        <w:autoSpaceDE w:val="0"/>
        <w:autoSpaceDN w:val="0"/>
        <w:adjustRightInd w:val="0"/>
        <w:spacing w:after="120"/>
        <w:jc w:val="both"/>
        <w:rPr>
          <w:rFonts w:ascii="Times New Roman" w:hAnsi="Times New Roman"/>
          <w:sz w:val="24"/>
          <w:szCs w:val="24"/>
        </w:rPr>
      </w:pPr>
      <w:r w:rsidRPr="003C3367">
        <w:rPr>
          <w:rFonts w:ascii="Times New Roman" w:hAnsi="Times New Roman"/>
          <w:sz w:val="24"/>
          <w:szCs w:val="24"/>
        </w:rPr>
        <w:t xml:space="preserve">Ogni obiettivo strategico stabilito nella fase precedente è articolato in obiettivi operativi per ciascuno dei quali vanno definite le azioni, i tempi, le risorse e le responsabilità organizzative connesse al loro raggiungimento. </w:t>
      </w:r>
    </w:p>
    <w:p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Il tutto è sintetizzato all’interno di uno o più “piani operativi”.</w:t>
      </w:r>
    </w:p>
    <w:p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Essi individuano:</w:t>
      </w:r>
    </w:p>
    <w:p w:rsidR="00582A16" w:rsidRPr="00E63330" w:rsidRDefault="0096592E" w:rsidP="00942E2C">
      <w:pPr>
        <w:pStyle w:val="Elencoacolori-Colore11"/>
        <w:numPr>
          <w:ilvl w:val="0"/>
          <w:numId w:val="34"/>
        </w:numPr>
        <w:autoSpaceDE w:val="0"/>
        <w:autoSpaceDN w:val="0"/>
        <w:adjustRightInd w:val="0"/>
        <w:spacing w:after="120"/>
        <w:ind w:left="714" w:hanging="357"/>
        <w:contextualSpacing w:val="0"/>
        <w:jc w:val="both"/>
        <w:rPr>
          <w:rFonts w:ascii="Times New Roman" w:hAnsi="Times New Roman"/>
          <w:sz w:val="24"/>
          <w:szCs w:val="24"/>
        </w:rPr>
      </w:pPr>
      <w:r w:rsidRPr="003C3367">
        <w:rPr>
          <w:rFonts w:ascii="Times New Roman" w:hAnsi="Times New Roman"/>
          <w:sz w:val="24"/>
          <w:szCs w:val="24"/>
        </w:rPr>
        <w:t>l’obiettivo operativo, a cui si associano, rispettivamente, uno o più indicatori; ad ogni indicatore è attribuito un target(valore programmato o atteso)annuale e semestrale;</w:t>
      </w:r>
    </w:p>
    <w:p w:rsidR="00582A16" w:rsidRPr="00E63330" w:rsidRDefault="0096592E" w:rsidP="00942E2C">
      <w:pPr>
        <w:pStyle w:val="Elencoacolori-Colore11"/>
        <w:numPr>
          <w:ilvl w:val="0"/>
          <w:numId w:val="34"/>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azioni da porre in essere con la relativa tempistica;</w:t>
      </w:r>
    </w:p>
    <w:p w:rsidR="00582A16" w:rsidRPr="00E63330" w:rsidRDefault="0096592E" w:rsidP="00942E2C">
      <w:pPr>
        <w:pStyle w:val="Elencoacolori-Colore11"/>
        <w:numPr>
          <w:ilvl w:val="0"/>
          <w:numId w:val="34"/>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la quantificazione delle risorse economiche, umane e strumentali;</w:t>
      </w:r>
    </w:p>
    <w:p w:rsidR="00582A16" w:rsidRPr="00E63330" w:rsidRDefault="0096592E" w:rsidP="00942E2C">
      <w:pPr>
        <w:pStyle w:val="Elencoacolori-Colore11"/>
        <w:numPr>
          <w:ilvl w:val="0"/>
          <w:numId w:val="34"/>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responsabilità organizzative.</w:t>
      </w:r>
    </w:p>
    <w:p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Nel presente paragrafo vengono individuate le linee generali dei piani operativi, lasciando nella facoltà dei responsabili organizzativi (Dirigenti e Responsabili di Ufficio) l’individuazione in </w:t>
      </w:r>
      <w:r w:rsidRPr="003C3367">
        <w:rPr>
          <w:rFonts w:ascii="Times New Roman" w:hAnsi="Times New Roman"/>
          <w:sz w:val="24"/>
          <w:szCs w:val="24"/>
        </w:rPr>
        <w:lastRenderedPageBreak/>
        <w:t>dettaglio delle azioni da porre in essere e relativa tempistica, nonché la quantificazione delle risorse economiche, umane e strumentali.</w:t>
      </w:r>
    </w:p>
    <w:p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La definizione dei piani operativi è svolta al termine della fase di individuazione degli obiettivi strategici e si connota per un taglio particolarmente tecnico. In tale fase operano gli attori coinvolti nella realizzazione dei singoli obiettivi.</w:t>
      </w:r>
    </w:p>
    <w:p w:rsidR="00582A16" w:rsidRPr="00E63330" w:rsidRDefault="00582A16" w:rsidP="005C7ECC">
      <w:pPr>
        <w:autoSpaceDE w:val="0"/>
        <w:autoSpaceDN w:val="0"/>
        <w:adjustRightInd w:val="0"/>
        <w:spacing w:after="0"/>
        <w:rPr>
          <w:rFonts w:ascii="Times New Roman" w:hAnsi="Times New Roman"/>
          <w:sz w:val="2"/>
          <w:szCs w:val="24"/>
        </w:rPr>
      </w:pPr>
    </w:p>
    <w:p w:rsidR="001378E6" w:rsidRDefault="0096592E" w:rsidP="003C3367">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Ad ogni dirigente o responsabile di unità organizzativa possono essere assegnati uno o più obiettivi strategici e/o operativi.</w:t>
      </w:r>
    </w:p>
    <w:p w:rsidR="00582A16" w:rsidRPr="00E63330" w:rsidRDefault="00582A16" w:rsidP="005C7ECC">
      <w:pPr>
        <w:autoSpaceDE w:val="0"/>
        <w:autoSpaceDN w:val="0"/>
        <w:adjustRightInd w:val="0"/>
        <w:spacing w:after="0"/>
        <w:rPr>
          <w:rFonts w:ascii="Times New Roman" w:hAnsi="Times New Roman"/>
          <w:sz w:val="6"/>
          <w:szCs w:val="24"/>
        </w:rPr>
      </w:pPr>
    </w:p>
    <w:p w:rsidR="00582A16" w:rsidRPr="003C3367" w:rsidRDefault="0096592E" w:rsidP="005C7ECC">
      <w:pPr>
        <w:autoSpaceDE w:val="0"/>
        <w:autoSpaceDN w:val="0"/>
        <w:adjustRightInd w:val="0"/>
        <w:spacing w:after="0"/>
        <w:jc w:val="both"/>
        <w:rPr>
          <w:rFonts w:ascii="Times New Roman" w:hAnsi="Times New Roman"/>
        </w:rPr>
      </w:pPr>
      <w:r w:rsidRPr="003C3367">
        <w:rPr>
          <w:rFonts w:ascii="Times New Roman" w:hAnsi="Times New Roman"/>
          <w:sz w:val="24"/>
          <w:szCs w:val="24"/>
        </w:rPr>
        <w:t xml:space="preserve">Inoltre, possono essere assegnati obiettivi in “quota parte”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proofErr w:type="spellStart"/>
      <w:r w:rsidRPr="003C3367">
        <w:rPr>
          <w:rFonts w:ascii="Times New Roman" w:hAnsi="Times New Roman"/>
          <w:i/>
          <w:sz w:val="24"/>
          <w:szCs w:val="24"/>
        </w:rPr>
        <w:t>Stakeholders</w:t>
      </w:r>
      <w:proofErr w:type="spellEnd"/>
      <w:r w:rsidRPr="003C3367">
        <w:rPr>
          <w:rFonts w:ascii="Times New Roman" w:hAnsi="Times New Roman"/>
          <w:sz w:val="24"/>
          <w:szCs w:val="24"/>
        </w:rPr>
        <w:t>.</w:t>
      </w:r>
    </w:p>
    <w:p w:rsidR="006741EA"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L’Organismo indipendente di valutazione monitora il funzionamento</w:t>
      </w:r>
      <w:r w:rsidR="009B7CE6">
        <w:rPr>
          <w:rFonts w:ascii="Times New Roman" w:hAnsi="Times New Roman"/>
          <w:sz w:val="24"/>
          <w:szCs w:val="24"/>
        </w:rPr>
        <w:t xml:space="preserve"> </w:t>
      </w:r>
      <w:r w:rsidRPr="003C3367">
        <w:rPr>
          <w:rFonts w:ascii="Times New Roman" w:hAnsi="Times New Roman"/>
          <w:sz w:val="24"/>
          <w:szCs w:val="24"/>
        </w:rPr>
        <w:t>complessivo del sistema della valutazione, della trasparenza e integrità dei controlli interni e</w:t>
      </w:r>
      <w:r w:rsidR="009B7CE6">
        <w:rPr>
          <w:rFonts w:ascii="Times New Roman" w:hAnsi="Times New Roman"/>
          <w:sz w:val="24"/>
          <w:szCs w:val="24"/>
        </w:rPr>
        <w:t xml:space="preserve"> </w:t>
      </w:r>
      <w:r w:rsidRPr="003C3367">
        <w:rPr>
          <w:rFonts w:ascii="Times New Roman" w:hAnsi="Times New Roman"/>
          <w:sz w:val="24"/>
          <w:szCs w:val="24"/>
        </w:rPr>
        <w:t>garantisce la correttezza dei sistemi di misurazione e di valutazione.</w:t>
      </w:r>
    </w:p>
    <w:p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È necessario premettere che gli obiettivi operativi dell’ARCEA discendono e sono strettamente interconnessi con i compiti istituzionali assegnati all’Agenzia in materia di erogazione dei contributi comunitari in Agricoltura ed in particolare con gli stringenti requisiti previsti dalla normativa europea ai fini del mantenimento del riconoscimento dell’ARCEA quale Organismo Pagatore e per la certificazione annuale della spesa. </w:t>
      </w:r>
    </w:p>
    <w:p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Sulla base di tali puntuali previsioni normative, al cui rispetto è direttamente legata la sussistenza in vita dell’Ente, è impostata tutta l’organizzazione dell’ARCEA che non solo deve necessariamente raggiungere i propri obiettivi ma deve anche fornirne ampia garanzia ed evidenza all’Organismo di Certificazione dei conti, al Ministero delle Politiche Agricole e Forestali ed ai Servizi della Commissione Europea. </w:t>
      </w:r>
    </w:p>
    <w:p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Con cadenza annuale, infine, l’Organismo di Certificazione dei Conti produce una relazione che certifica il livello di maturità dell’Agenzia, calcolato secondo il “</w:t>
      </w:r>
      <w:proofErr w:type="spellStart"/>
      <w:r w:rsidRPr="003C3367">
        <w:rPr>
          <w:rFonts w:ascii="Times New Roman" w:hAnsi="Times New Roman"/>
          <w:i/>
          <w:sz w:val="24"/>
          <w:szCs w:val="24"/>
        </w:rPr>
        <w:t>Capability</w:t>
      </w:r>
      <w:proofErr w:type="spellEnd"/>
      <w:r w:rsidRPr="003C3367">
        <w:rPr>
          <w:rFonts w:ascii="Times New Roman" w:hAnsi="Times New Roman"/>
          <w:i/>
          <w:sz w:val="24"/>
          <w:szCs w:val="24"/>
        </w:rPr>
        <w:t xml:space="preserve"> </w:t>
      </w:r>
      <w:proofErr w:type="spellStart"/>
      <w:r w:rsidRPr="003C3367">
        <w:rPr>
          <w:rFonts w:ascii="Times New Roman" w:hAnsi="Times New Roman"/>
          <w:i/>
          <w:sz w:val="24"/>
          <w:szCs w:val="24"/>
        </w:rPr>
        <w:t>Maturity</w:t>
      </w:r>
      <w:proofErr w:type="spellEnd"/>
      <w:r w:rsidRPr="003C3367">
        <w:rPr>
          <w:rFonts w:ascii="Times New Roman" w:hAnsi="Times New Roman"/>
          <w:i/>
          <w:sz w:val="24"/>
          <w:szCs w:val="24"/>
        </w:rPr>
        <w:t xml:space="preserve"> Model</w:t>
      </w:r>
      <w:r w:rsidRPr="003C3367">
        <w:rPr>
          <w:rFonts w:ascii="Times New Roman" w:hAnsi="Times New Roman"/>
          <w:sz w:val="24"/>
          <w:szCs w:val="24"/>
        </w:rPr>
        <w:t xml:space="preserve">”, che non deve </w:t>
      </w:r>
      <w:r w:rsidR="00E6716D">
        <w:rPr>
          <w:rFonts w:ascii="Times New Roman" w:hAnsi="Times New Roman"/>
          <w:sz w:val="24"/>
          <w:szCs w:val="24"/>
        </w:rPr>
        <w:t>collocarli nell’intervallo [2,51 -</w:t>
      </w:r>
      <w:r w:rsidR="00E6716D" w:rsidRPr="00E6716D">
        <w:rPr>
          <w:rFonts w:ascii="Times New Roman" w:hAnsi="Times New Roman"/>
          <w:sz w:val="24"/>
          <w:szCs w:val="24"/>
        </w:rPr>
        <w:t xml:space="preserve"> 3,5</w:t>
      </w:r>
      <w:r w:rsidR="00E6716D">
        <w:rPr>
          <w:rFonts w:ascii="Times New Roman" w:hAnsi="Times New Roman"/>
          <w:sz w:val="24"/>
          <w:szCs w:val="24"/>
        </w:rPr>
        <w:t>]</w:t>
      </w:r>
      <w:r w:rsidRPr="003C3367">
        <w:rPr>
          <w:rFonts w:ascii="Times New Roman" w:hAnsi="Times New Roman"/>
          <w:sz w:val="24"/>
          <w:szCs w:val="24"/>
        </w:rPr>
        <w:t xml:space="preserve"> in una scala da 1 a 4 e che di fatto rispecchia il grado di raggiungimento degli obiettivi da parte dell’ARCEA. </w:t>
      </w:r>
    </w:p>
    <w:p w:rsidR="008D0E93"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Anche sulla scorta di tale certificazione, i Servizi della Commissione Europea, che comunque conducono anche Audit specifici su determinati aspetti specialistici connessi ai controlli ed ai pagamenti, si determinano in relazione alla riconferma del riconoscimento.</w:t>
      </w:r>
    </w:p>
    <w:p w:rsidR="00AF5A5D"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Per tali motivazioni alcuni obiettivi operativi assumono un necessario carattere di ripetitività negli anni. </w:t>
      </w:r>
    </w:p>
    <w:p w:rsidR="005D4255"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In particolare, rispetto ai precedenti Piani vengono confermati i seguenti obiettivi operativi che, per la loro interdipendenza con il mantenimento del riconoscimento dell’ARCEA quale Organismo Pagatore e con le scadenze comunitarie relative alle erogazioni in agricoltura, hanno carattere di ricorrenza:</w:t>
      </w:r>
    </w:p>
    <w:p w:rsidR="00262538" w:rsidRPr="00E63330" w:rsidRDefault="00262538" w:rsidP="00DE2CD2">
      <w:pPr>
        <w:autoSpaceDE w:val="0"/>
        <w:autoSpaceDN w:val="0"/>
        <w:adjustRightInd w:val="0"/>
        <w:spacing w:after="0"/>
        <w:ind w:left="371" w:firstLine="349"/>
        <w:jc w:val="both"/>
        <w:rPr>
          <w:rFonts w:ascii="Times New Roman" w:hAnsi="Times New Roman"/>
          <w:sz w:val="24"/>
          <w:szCs w:val="24"/>
        </w:rPr>
      </w:pP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ambiente interno, anche con riferimento al corretto funzionamento dell’Agenzia;</w:t>
      </w: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un’adeguata attività di controllo;</w:t>
      </w: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 comunicazione efficace anche in rapporto alla trasparenza, all'integrità ed all'anticorruzione</w:t>
      </w: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un’adeguata attività di monitoraggio anche in rapporto alla trasparenza ed all’integrità;</w:t>
      </w: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Implementazione delle necessarie procedure tecnico-amministrative;</w:t>
      </w:r>
    </w:p>
    <w:p w:rsidR="001378E6" w:rsidRPr="003C3367" w:rsidRDefault="0096592E" w:rsidP="003C3367">
      <w:pPr>
        <w:pStyle w:val="Paragrafoelenco"/>
        <w:numPr>
          <w:ilvl w:val="0"/>
          <w:numId w:val="73"/>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livello di sicurezza delle informazioni;</w:t>
      </w:r>
    </w:p>
    <w:p w:rsidR="00042617" w:rsidRPr="00E63330" w:rsidRDefault="00042617" w:rsidP="00DE2CD2">
      <w:pPr>
        <w:autoSpaceDE w:val="0"/>
        <w:autoSpaceDN w:val="0"/>
        <w:adjustRightInd w:val="0"/>
        <w:spacing w:after="0"/>
        <w:ind w:left="371" w:firstLine="349"/>
        <w:jc w:val="both"/>
        <w:rPr>
          <w:rFonts w:ascii="Times New Roman" w:hAnsi="Times New Roman"/>
          <w:sz w:val="24"/>
          <w:szCs w:val="24"/>
        </w:rPr>
      </w:pPr>
    </w:p>
    <w:p w:rsidR="00C72C5D"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L’ultimo indicatore, relativo all’implementazione della norma ISO – 27002, è stato traslato dall’obiettivo strategico 1 al rimodulato obiettivo strategico 3. </w:t>
      </w:r>
    </w:p>
    <w:p w:rsidR="00C72C5D" w:rsidRPr="00E63330" w:rsidRDefault="0096592E" w:rsidP="005D4255">
      <w:pPr>
        <w:spacing w:after="120"/>
        <w:jc w:val="both"/>
        <w:rPr>
          <w:rFonts w:ascii="Times New Roman" w:hAnsi="Times New Roman"/>
          <w:sz w:val="24"/>
          <w:szCs w:val="24"/>
        </w:rPr>
      </w:pPr>
      <w:bookmarkStart w:id="83" w:name="OLE_LINK353"/>
      <w:bookmarkStart w:id="84" w:name="OLE_LINK354"/>
      <w:r w:rsidRPr="003C3367">
        <w:rPr>
          <w:rFonts w:ascii="Times New Roman" w:hAnsi="Times New Roman"/>
          <w:sz w:val="24"/>
          <w:szCs w:val="24"/>
        </w:rPr>
        <w:t xml:space="preserve">È necessario, inoltre, sottolineare come siano stati rivisti molti indicatori, soprattutto in relazione al processo sperimentale, descritto nella sezione “Contesto di riferimento”, con il quale l’ARCEA intende connettere in maniera forte il ciclo delle Performance al Piano di Azione finalizzato alla riduzione del “tasso di errore”. </w:t>
      </w:r>
    </w:p>
    <w:p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In tal senso, è in ogni caso fondamentale rimarcare come, essendo gli obiettivi di performance dell’ARCEA strettamente legati alla sua attività di Organismo Pagatore, che prevede vincoli stringenti dal cui rispetto dipende la sussistenza stessa dell’Ente (e sui quali sono condotti Audit di terze parti su almeno 3 livelli istituzionali differenti), ci si aspetta livelli di raggiungimento molto elevati. </w:t>
      </w:r>
    </w:p>
    <w:p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proposito, in recepimento di un’osservazione formulata in diverse sedi dall’OIV, è necessario esplicitare che gli obiettivi, gli indicatori ed i loro target assumono carattere sfidante in quanto stabiliti dalla normativa comunitaria di settore che richiede agli Organismi Pagatori di garantire condizioni di eccellenza stante il consistente ammontare di contributi erogati annualmente (circa 400 milioni per l’ARCEA). </w:t>
      </w:r>
    </w:p>
    <w:p w:rsidR="00A03FB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Allo stesso modo, la connessione dei valori attesi per gli obiettivi alle prescrizioni di carattere comunitario ed alle condizioni essenziali per il mantenimento del riconoscimento dell’ARCEA quale Organismo Pagatore determina un alto livello di raggiungimento degli obiettivi, che deve essere inteso quale frutto di sforzi continui da parte dell’Agenzia e non quale sintomo di target poco sfidanti. </w:t>
      </w:r>
    </w:p>
    <w:bookmarkEnd w:id="83"/>
    <w:bookmarkEnd w:id="84"/>
    <w:p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partire dal Piano 2017, conformemente a quanto disposto dagli aggiornamenti alla normativa in materia di prevenzione della corruzione ed in ossequio a quanto indicato dall'ANAC nelle linee guida del 28 Dicembre 2016, richiamate anche dall'OIV a partire dalla nota del 5 Gennaio 2017, si è rafforzato il collegamento con il Piano della Prevenzione della Corruzione e della Trasparenza. </w:t>
      </w:r>
    </w:p>
    <w:p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fine, il nuovo PPCT è stato adeguato al fine di conformare la struttura degli obiettivi e degli indicatori a quella del Piano delle Performance. </w:t>
      </w:r>
    </w:p>
    <w:p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Per tale motivo, gli obiettivi operativi 1.5 e 1.6 sono stati totalmente ricondotti agli obiettivi in materia di prevenzione della corruzione e della trasparenza da cui mutuano gli indicatori di misurazione. </w:t>
      </w:r>
    </w:p>
    <w:p w:rsidR="00696850"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altresì ribadito il principio secondo il quale tutte le Strutture dell'Agenzia partecipano alla realizzazione dei predetti obiettivi. </w:t>
      </w:r>
    </w:p>
    <w:p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esplicitato con maggiore chiarezza l'incidenza che gli obiettivi di Prevenzione della Corruzione e della Trasparenza hanno rispetto alla Performance organizzativa ed individuale del Personale. </w:t>
      </w:r>
    </w:p>
    <w:p w:rsidR="00E6716D" w:rsidRDefault="0096592E" w:rsidP="005D4255">
      <w:pPr>
        <w:spacing w:after="120"/>
        <w:jc w:val="both"/>
        <w:rPr>
          <w:rFonts w:ascii="Times New Roman" w:hAnsi="Times New Roman"/>
          <w:sz w:val="24"/>
          <w:szCs w:val="24"/>
        </w:rPr>
      </w:pPr>
      <w:bookmarkStart w:id="85" w:name="OLE_LINK213"/>
      <w:bookmarkStart w:id="86" w:name="OLE_LINK214"/>
      <w:bookmarkStart w:id="87" w:name="OLE_LINK215"/>
      <w:r w:rsidRPr="003C3367">
        <w:rPr>
          <w:rFonts w:ascii="Times New Roman" w:hAnsi="Times New Roman"/>
          <w:sz w:val="24"/>
          <w:szCs w:val="24"/>
        </w:rPr>
        <w:t xml:space="preserve">Con riferimento all’obiettivo strategico n. 3, si è scelto di prevedere due obiettivi operativi, connessi all’introduzione di un nuovo software per la protocollazione informatica </w:t>
      </w:r>
      <w:r w:rsidR="00D90F50">
        <w:rPr>
          <w:rFonts w:ascii="Times New Roman" w:hAnsi="Times New Roman"/>
          <w:sz w:val="24"/>
          <w:szCs w:val="24"/>
        </w:rPr>
        <w:t xml:space="preserve">e/o gestione documentale </w:t>
      </w:r>
      <w:r w:rsidRPr="003C3367">
        <w:rPr>
          <w:rFonts w:ascii="Times New Roman" w:hAnsi="Times New Roman"/>
          <w:sz w:val="24"/>
          <w:szCs w:val="24"/>
        </w:rPr>
        <w:t>e</w:t>
      </w:r>
      <w:r w:rsidR="006362A5">
        <w:rPr>
          <w:rFonts w:ascii="Times New Roman" w:hAnsi="Times New Roman"/>
          <w:sz w:val="24"/>
          <w:szCs w:val="24"/>
        </w:rPr>
        <w:t>d al</w:t>
      </w:r>
      <w:r w:rsidRPr="003C3367">
        <w:rPr>
          <w:rFonts w:ascii="Times New Roman" w:hAnsi="Times New Roman"/>
          <w:sz w:val="24"/>
          <w:szCs w:val="24"/>
        </w:rPr>
        <w:t xml:space="preserve">la gestione della Sicurezza delle informazioni ai sensi del Regolamento (UE) 907/2014. </w:t>
      </w:r>
    </w:p>
    <w:p w:rsidR="009B727D" w:rsidRPr="00E63330" w:rsidRDefault="009B727D" w:rsidP="005D4255">
      <w:pPr>
        <w:spacing w:after="120"/>
        <w:jc w:val="both"/>
        <w:rPr>
          <w:rFonts w:ascii="Times New Roman" w:hAnsi="Times New Roman"/>
          <w:sz w:val="24"/>
          <w:szCs w:val="24"/>
        </w:rPr>
      </w:pPr>
    </w:p>
    <w:p w:rsidR="00126061" w:rsidRPr="00E63330" w:rsidRDefault="0096592E" w:rsidP="002F58B2">
      <w:pPr>
        <w:pStyle w:val="Titolo1"/>
      </w:pPr>
      <w:bookmarkStart w:id="88" w:name="_Toc1046960"/>
      <w:bookmarkEnd w:id="85"/>
      <w:bookmarkEnd w:id="86"/>
      <w:bookmarkEnd w:id="87"/>
      <w:r w:rsidRPr="003C3367">
        <w:t>La scelta degli indicatori</w:t>
      </w:r>
      <w:bookmarkEnd w:id="88"/>
    </w:p>
    <w:p w:rsidR="0015130B" w:rsidRPr="003C3367" w:rsidRDefault="0015130B" w:rsidP="0015130B">
      <w:pPr>
        <w:rPr>
          <w:rFonts w:ascii="Times New Roman" w:hAnsi="Times New Roman"/>
          <w:sz w:val="4"/>
        </w:rPr>
      </w:pPr>
    </w:p>
    <w:p w:rsidR="004C072C" w:rsidRPr="00E63330" w:rsidRDefault="0096592E" w:rsidP="00312C3B">
      <w:pPr>
        <w:numPr>
          <w:ilvl w:val="0"/>
          <w:numId w:val="12"/>
        </w:numPr>
        <w:jc w:val="both"/>
        <w:rPr>
          <w:rFonts w:ascii="Times New Roman" w:hAnsi="Times New Roman"/>
          <w:sz w:val="24"/>
          <w:szCs w:val="24"/>
          <w:u w:val="single"/>
        </w:rPr>
      </w:pPr>
      <w:r w:rsidRPr="003C3367">
        <w:rPr>
          <w:rFonts w:ascii="Times New Roman" w:hAnsi="Times New Roman"/>
          <w:sz w:val="24"/>
          <w:szCs w:val="24"/>
          <w:u w:val="single"/>
        </w:rPr>
        <w:t>Indicatori di impatto:</w:t>
      </w:r>
    </w:p>
    <w:p w:rsidR="004C072C" w:rsidRPr="00E63330" w:rsidRDefault="0096592E" w:rsidP="004C072C">
      <w:pPr>
        <w:jc w:val="both"/>
        <w:rPr>
          <w:rFonts w:ascii="Times New Roman" w:hAnsi="Times New Roman"/>
          <w:sz w:val="24"/>
          <w:szCs w:val="24"/>
        </w:rPr>
      </w:pPr>
      <w:r w:rsidRPr="003C3367">
        <w:rPr>
          <w:rFonts w:ascii="Times New Roman" w:hAnsi="Times New Roman"/>
          <w:sz w:val="24"/>
          <w:szCs w:val="24"/>
        </w:rPr>
        <w:t>L’ARCEA, in ossequio alle osservazioni formulate dall’Organismo Indipendente di Valutazione, ha definito, per ciascun Obiettivo strategico, i relativi indicatori di impatto che costituiscono gli strumenti di rilevazione, anche di carattere socio-economico, delle conseguenze derivanti dalle azioni intraprese dall’Agenzia per favorire lo sviluppo del contesto territoriale di riferimento.</w:t>
      </w:r>
    </w:p>
    <w:p w:rsidR="00FB5321" w:rsidRPr="00E63330" w:rsidRDefault="0096592E" w:rsidP="004C072C">
      <w:pPr>
        <w:jc w:val="both"/>
        <w:rPr>
          <w:rFonts w:ascii="Times New Roman" w:hAnsi="Times New Roman"/>
          <w:sz w:val="24"/>
          <w:szCs w:val="24"/>
        </w:rPr>
      </w:pPr>
      <w:r w:rsidRPr="003C3367">
        <w:rPr>
          <w:rFonts w:ascii="Times New Roman" w:hAnsi="Times New Roman"/>
          <w:sz w:val="24"/>
          <w:szCs w:val="24"/>
        </w:rPr>
        <w:t>La scelta dei predetti indicatori di impatto si correla con la “</w:t>
      </w:r>
      <w:proofErr w:type="spellStart"/>
      <w:r w:rsidRPr="003C3367">
        <w:rPr>
          <w:rFonts w:ascii="Times New Roman" w:hAnsi="Times New Roman"/>
          <w:sz w:val="24"/>
          <w:szCs w:val="24"/>
        </w:rPr>
        <w:t>mission</w:t>
      </w:r>
      <w:proofErr w:type="spellEnd"/>
      <w:r w:rsidRPr="003C3367">
        <w:rPr>
          <w:rFonts w:ascii="Times New Roman" w:hAnsi="Times New Roman"/>
          <w:sz w:val="24"/>
          <w:szCs w:val="24"/>
        </w:rPr>
        <w:t>” istituzionale dell’ARCEA che ha, quale fine ultimo, quello di contribuire in modo tangibile al miglioramento delle condizioni generali del settore agricolo calabrese, sia attraverso l’immissione di un elevato ammontare di risorse finanziare, che fungendo da raccordo tra i vari soggetti coinvolti a vario titolo nel processo di erogazione degli aiuti, promuovendo la risoluzione di problematiche tecnico-amministrativo che possono causare un blocco dei pagamenti.</w:t>
      </w:r>
    </w:p>
    <w:p w:rsidR="00EF7893" w:rsidRPr="00E63330" w:rsidRDefault="0096592E" w:rsidP="004C072C">
      <w:pPr>
        <w:jc w:val="both"/>
        <w:rPr>
          <w:rFonts w:ascii="Times New Roman" w:hAnsi="Times New Roman"/>
          <w:sz w:val="24"/>
          <w:szCs w:val="24"/>
        </w:rPr>
      </w:pPr>
      <w:r w:rsidRPr="003C3367">
        <w:rPr>
          <w:rFonts w:ascii="Times New Roman" w:hAnsi="Times New Roman"/>
          <w:sz w:val="24"/>
          <w:szCs w:val="24"/>
        </w:rPr>
        <w:t>In tal senso, gli indicatori di impatto tendono a misurare la capacità dell’ARCEA di svolgere al meglio il proprio ruolo ed, in particolare, di:</w:t>
      </w:r>
    </w:p>
    <w:p w:rsidR="00EF7893" w:rsidRPr="00E63330" w:rsidRDefault="0096592E" w:rsidP="00E12332">
      <w:pPr>
        <w:numPr>
          <w:ilvl w:val="1"/>
          <w:numId w:val="30"/>
        </w:numPr>
        <w:spacing w:after="0"/>
        <w:jc w:val="both"/>
        <w:rPr>
          <w:rFonts w:ascii="Times New Roman" w:hAnsi="Times New Roman"/>
          <w:sz w:val="24"/>
          <w:szCs w:val="24"/>
        </w:rPr>
      </w:pPr>
      <w:r w:rsidRPr="003C3367">
        <w:rPr>
          <w:rFonts w:ascii="Times New Roman" w:hAnsi="Times New Roman"/>
          <w:sz w:val="24"/>
          <w:szCs w:val="24"/>
        </w:rPr>
        <w:t xml:space="preserve">Risolvere le problematiche incontrate dai beneficiari, grazie alla presenza, all’interno della struttura organizzativa di articolazioni dedicate al soddisfacimento di tali tipologie di problematiche, il cui corretto funzionamento è misurato, a partire dal presente ciclo delle Performance, in via sperimentale, direttamente dagli </w:t>
      </w:r>
      <w:proofErr w:type="spellStart"/>
      <w:r w:rsidRPr="003C3367">
        <w:rPr>
          <w:rFonts w:ascii="Times New Roman" w:hAnsi="Times New Roman"/>
          <w:sz w:val="24"/>
          <w:szCs w:val="24"/>
        </w:rPr>
        <w:t>stakeholders</w:t>
      </w:r>
      <w:proofErr w:type="spellEnd"/>
      <w:r w:rsidRPr="003C3367">
        <w:rPr>
          <w:rFonts w:ascii="Times New Roman" w:hAnsi="Times New Roman"/>
          <w:sz w:val="24"/>
          <w:szCs w:val="24"/>
        </w:rPr>
        <w:t>;</w:t>
      </w:r>
    </w:p>
    <w:p w:rsidR="00EF7893" w:rsidRPr="00E63330" w:rsidRDefault="0096592E" w:rsidP="00E12332">
      <w:pPr>
        <w:numPr>
          <w:ilvl w:val="1"/>
          <w:numId w:val="30"/>
        </w:numPr>
        <w:spacing w:after="0"/>
        <w:jc w:val="both"/>
        <w:rPr>
          <w:rFonts w:ascii="Times New Roman" w:hAnsi="Times New Roman"/>
          <w:sz w:val="24"/>
          <w:szCs w:val="24"/>
        </w:rPr>
      </w:pPr>
      <w:r w:rsidRPr="003C3367">
        <w:rPr>
          <w:rFonts w:ascii="Times New Roman" w:hAnsi="Times New Roman"/>
          <w:sz w:val="24"/>
          <w:szCs w:val="24"/>
        </w:rPr>
        <w:t>Effettuare i pagamenti in favore della vasta platea di beneficiari aventi diritto</w:t>
      </w:r>
      <w:r w:rsidR="00E6716D">
        <w:rPr>
          <w:rFonts w:ascii="Times New Roman" w:hAnsi="Times New Roman"/>
          <w:sz w:val="24"/>
          <w:szCs w:val="24"/>
        </w:rPr>
        <w:t>, raggiungendo tutti i target di spesa previsti dalla normativa comunitaria</w:t>
      </w:r>
      <w:r w:rsidRPr="003C3367">
        <w:rPr>
          <w:rFonts w:ascii="Times New Roman" w:hAnsi="Times New Roman"/>
          <w:sz w:val="24"/>
          <w:szCs w:val="24"/>
        </w:rPr>
        <w:t>;</w:t>
      </w:r>
    </w:p>
    <w:p w:rsidR="00C51AFA" w:rsidRPr="00E63330" w:rsidRDefault="0096592E" w:rsidP="00942E2C">
      <w:pPr>
        <w:numPr>
          <w:ilvl w:val="1"/>
          <w:numId w:val="30"/>
        </w:numPr>
        <w:jc w:val="both"/>
        <w:rPr>
          <w:rFonts w:ascii="Times New Roman" w:hAnsi="Times New Roman"/>
          <w:sz w:val="24"/>
          <w:szCs w:val="24"/>
        </w:rPr>
      </w:pPr>
      <w:r w:rsidRPr="003C3367">
        <w:rPr>
          <w:rFonts w:ascii="Times New Roman" w:hAnsi="Times New Roman"/>
          <w:sz w:val="24"/>
          <w:szCs w:val="24"/>
        </w:rPr>
        <w:t>Permettere agli utenti di utilizzare sistemi informativi standard, moderni</w:t>
      </w:r>
      <w:r w:rsidR="00505E02">
        <w:rPr>
          <w:rFonts w:ascii="Times New Roman" w:hAnsi="Times New Roman"/>
          <w:sz w:val="24"/>
          <w:szCs w:val="24"/>
        </w:rPr>
        <w:t>, sicuri</w:t>
      </w:r>
      <w:r w:rsidRPr="003C3367">
        <w:rPr>
          <w:rFonts w:ascii="Times New Roman" w:hAnsi="Times New Roman"/>
          <w:sz w:val="24"/>
          <w:szCs w:val="24"/>
        </w:rPr>
        <w:t xml:space="preserve"> ed armonizzati con quanto previsto dalla normativa di riferimento ed in particolare al Piano Triennale per l’informatizzazione della Pubblica Amministrazione. </w:t>
      </w:r>
    </w:p>
    <w:p w:rsidR="00193A7A" w:rsidRPr="00E63330" w:rsidRDefault="007053B8" w:rsidP="00193A7A">
      <w:pPr>
        <w:jc w:val="both"/>
        <w:rPr>
          <w:rFonts w:ascii="Times New Roman" w:hAnsi="Times New Roman"/>
          <w:sz w:val="24"/>
          <w:szCs w:val="24"/>
        </w:rPr>
      </w:pPr>
      <w:r>
        <w:rPr>
          <w:rFonts w:ascii="Times New Roman" w:hAnsi="Times New Roman"/>
          <w:sz w:val="24"/>
          <w:szCs w:val="24"/>
        </w:rPr>
        <w:t>I valori di partenza degli indicatori sono descritti in apposite tabelle nella seconda parte del Piano</w:t>
      </w:r>
      <w:r w:rsidR="0096592E">
        <w:rPr>
          <w:rFonts w:ascii="Times New Roman" w:hAnsi="Times New Roman"/>
          <w:sz w:val="24"/>
          <w:szCs w:val="24"/>
        </w:rPr>
        <w:t xml:space="preserve">; tutti i valori dei target degli obiettivi confermati rispetto allo scorso anno sono stati calcolati, secondo la procedura descritta </w:t>
      </w:r>
      <w:r w:rsidR="00E12332">
        <w:rPr>
          <w:rFonts w:ascii="Times New Roman" w:hAnsi="Times New Roman"/>
          <w:sz w:val="24"/>
          <w:szCs w:val="24"/>
        </w:rPr>
        <w:t>nella seconda parte del documento</w:t>
      </w:r>
      <w:r w:rsidR="0096592E">
        <w:rPr>
          <w:rFonts w:ascii="Times New Roman" w:hAnsi="Times New Roman"/>
          <w:sz w:val="24"/>
          <w:szCs w:val="24"/>
        </w:rPr>
        <w:t xml:space="preserve"> </w:t>
      </w:r>
      <w:r w:rsidR="00E12332">
        <w:rPr>
          <w:rFonts w:ascii="Times New Roman" w:hAnsi="Times New Roman"/>
          <w:sz w:val="24"/>
          <w:szCs w:val="24"/>
        </w:rPr>
        <w:t>in particolare nella sezione</w:t>
      </w:r>
      <w:r w:rsidR="0096592E">
        <w:rPr>
          <w:rFonts w:ascii="Times New Roman" w:hAnsi="Times New Roman"/>
          <w:sz w:val="24"/>
          <w:szCs w:val="24"/>
        </w:rPr>
        <w:t xml:space="preserve"> “</w:t>
      </w:r>
      <w:r w:rsidR="00E12332" w:rsidRPr="00E12332">
        <w:rPr>
          <w:rFonts w:ascii="Times New Roman" w:hAnsi="Times New Roman"/>
          <w:i/>
          <w:sz w:val="24"/>
          <w:szCs w:val="24"/>
        </w:rPr>
        <w:t>Quadri sinottici riportanti la connessione del valore degli indicatori nel corrente anno con i risultati dell’anno precedente (per gli indicatori confermati) e con le ultime misurazioni (per tutti gli indicatori del Piano)</w:t>
      </w:r>
      <w:r w:rsidR="0096592E">
        <w:rPr>
          <w:rFonts w:ascii="Times New Roman" w:hAnsi="Times New Roman"/>
          <w:sz w:val="24"/>
          <w:szCs w:val="24"/>
        </w:rPr>
        <w:t xml:space="preserve">”, in maniera da confermare gli standard qualitativi e quantitativi già raggiunti nello scorso anno. </w:t>
      </w:r>
      <w:r>
        <w:rPr>
          <w:rFonts w:ascii="Times New Roman" w:hAnsi="Times New Roman"/>
          <w:sz w:val="24"/>
          <w:szCs w:val="24"/>
        </w:rPr>
        <w:t xml:space="preserve">Per quanto riguarda gli indicatori di nuova introduzione, è stato riportato, in un’apposita tabella, il valore dell’ultima misurazione disponibile, dove disponibile. </w:t>
      </w:r>
    </w:p>
    <w:p w:rsidR="00691D7E" w:rsidRDefault="0096592E" w:rsidP="00193A7A">
      <w:pPr>
        <w:jc w:val="both"/>
        <w:rPr>
          <w:rFonts w:ascii="Times New Roman" w:hAnsi="Times New Roman"/>
          <w:sz w:val="24"/>
          <w:szCs w:val="24"/>
        </w:rPr>
      </w:pPr>
      <w:r>
        <w:rPr>
          <w:rFonts w:ascii="Times New Roman" w:hAnsi="Times New Roman"/>
          <w:sz w:val="24"/>
          <w:szCs w:val="24"/>
        </w:rPr>
        <w:t xml:space="preserve">Si riportano di seguito alcune considerazioni sugli indicatori: </w:t>
      </w:r>
    </w:p>
    <w:p w:rsidR="0031092E" w:rsidRPr="0031092E" w:rsidRDefault="0031092E" w:rsidP="0031092E">
      <w:pPr>
        <w:jc w:val="both"/>
        <w:rPr>
          <w:rFonts w:ascii="Times New Roman" w:hAnsi="Times New Roman"/>
          <w:b/>
          <w:sz w:val="24"/>
          <w:szCs w:val="24"/>
        </w:rPr>
      </w:pPr>
      <w:r w:rsidRPr="0031092E">
        <w:rPr>
          <w:rFonts w:ascii="Times New Roman" w:hAnsi="Times New Roman"/>
          <w:b/>
          <w:sz w:val="24"/>
          <w:szCs w:val="24"/>
        </w:rPr>
        <w:t xml:space="preserve">I1.1.1 </w:t>
      </w:r>
      <w:r>
        <w:rPr>
          <w:rFonts w:ascii="Times New Roman" w:hAnsi="Times New Roman"/>
          <w:b/>
          <w:sz w:val="24"/>
          <w:szCs w:val="24"/>
        </w:rPr>
        <w:t>(</w:t>
      </w:r>
      <w:r w:rsidRPr="0031092E">
        <w:rPr>
          <w:rFonts w:ascii="Times New Roman" w:hAnsi="Times New Roman"/>
          <w:b/>
          <w:sz w:val="24"/>
          <w:szCs w:val="24"/>
        </w:rPr>
        <w:t xml:space="preserve">Percentuale di ricevimenti dell’ufficio URCAA per i quali gli operatori CAA </w:t>
      </w:r>
      <w:r>
        <w:rPr>
          <w:rFonts w:ascii="Times New Roman" w:hAnsi="Times New Roman"/>
          <w:b/>
          <w:sz w:val="24"/>
          <w:szCs w:val="24"/>
        </w:rPr>
        <w:t>rilasciano un giudizio positivo)</w:t>
      </w:r>
    </w:p>
    <w:p w:rsidR="00691D7E" w:rsidRPr="003C3367" w:rsidRDefault="0096592E" w:rsidP="00193A7A">
      <w:pPr>
        <w:jc w:val="both"/>
        <w:rPr>
          <w:rFonts w:ascii="Times New Roman" w:hAnsi="Times New Roman"/>
          <w:sz w:val="24"/>
          <w:szCs w:val="24"/>
        </w:rPr>
      </w:pPr>
      <w:r w:rsidRPr="003C3367">
        <w:rPr>
          <w:rFonts w:ascii="Times New Roman" w:hAnsi="Times New Roman"/>
          <w:sz w:val="24"/>
          <w:szCs w:val="24"/>
        </w:rPr>
        <w:t xml:space="preserve">Tale indicatore è stato inserito per riconnettere in maniera ancora più significativa la misurazione delle performance dell’Agenzia al giudizio degli </w:t>
      </w:r>
      <w:proofErr w:type="spellStart"/>
      <w:r w:rsidRPr="003C3367">
        <w:rPr>
          <w:rFonts w:ascii="Times New Roman" w:hAnsi="Times New Roman"/>
          <w:sz w:val="24"/>
          <w:szCs w:val="24"/>
        </w:rPr>
        <w:t>stakeholders</w:t>
      </w:r>
      <w:proofErr w:type="spellEnd"/>
      <w:r w:rsidRPr="003C3367">
        <w:rPr>
          <w:rFonts w:ascii="Times New Roman" w:hAnsi="Times New Roman"/>
          <w:sz w:val="24"/>
          <w:szCs w:val="24"/>
        </w:rPr>
        <w:t xml:space="preserve"> esterni. In tale contesto</w:t>
      </w:r>
      <w:r w:rsidR="00505E02">
        <w:rPr>
          <w:rFonts w:ascii="Times New Roman" w:hAnsi="Times New Roman"/>
          <w:sz w:val="24"/>
          <w:szCs w:val="24"/>
        </w:rPr>
        <w:t>,</w:t>
      </w:r>
      <w:r w:rsidRPr="003C3367">
        <w:rPr>
          <w:rFonts w:ascii="Times New Roman" w:hAnsi="Times New Roman"/>
          <w:sz w:val="24"/>
          <w:szCs w:val="24"/>
        </w:rPr>
        <w:t xml:space="preserve"> sono stati </w:t>
      </w:r>
      <w:r w:rsidRPr="003C3367">
        <w:rPr>
          <w:rFonts w:ascii="Times New Roman" w:hAnsi="Times New Roman"/>
          <w:sz w:val="24"/>
          <w:szCs w:val="24"/>
        </w:rPr>
        <w:lastRenderedPageBreak/>
        <w:t xml:space="preserve">scelti i Centri di Assistenza Agricola che rappresentano lo strumento </w:t>
      </w:r>
      <w:r w:rsidR="00171A75">
        <w:rPr>
          <w:rFonts w:ascii="Times New Roman" w:hAnsi="Times New Roman"/>
          <w:sz w:val="24"/>
          <w:szCs w:val="24"/>
        </w:rPr>
        <w:t xml:space="preserve">privilegiato </w:t>
      </w:r>
      <w:r w:rsidRPr="003C3367">
        <w:rPr>
          <w:rFonts w:ascii="Times New Roman" w:hAnsi="Times New Roman"/>
          <w:sz w:val="24"/>
          <w:szCs w:val="24"/>
        </w:rPr>
        <w:t xml:space="preserve">attraverso il quale l’ARCEA può incidere sui beneficiari finali. </w:t>
      </w:r>
    </w:p>
    <w:p w:rsidR="00691D7E" w:rsidRPr="00E63330" w:rsidRDefault="0096592E" w:rsidP="00193A7A">
      <w:pPr>
        <w:jc w:val="both"/>
        <w:rPr>
          <w:rFonts w:ascii="Times New Roman" w:hAnsi="Times New Roman"/>
          <w:sz w:val="24"/>
          <w:szCs w:val="24"/>
        </w:rPr>
      </w:pPr>
      <w:r w:rsidRPr="003C3367">
        <w:rPr>
          <w:rFonts w:ascii="Times New Roman" w:hAnsi="Times New Roman"/>
          <w:sz w:val="24"/>
          <w:szCs w:val="24"/>
        </w:rPr>
        <w:t>Essendo, però, un indicatore di nuova istituzione,</w:t>
      </w:r>
      <w:r w:rsidR="009B7CE6">
        <w:rPr>
          <w:rFonts w:ascii="Times New Roman" w:hAnsi="Times New Roman"/>
          <w:sz w:val="24"/>
          <w:szCs w:val="24"/>
        </w:rPr>
        <w:t xml:space="preserve"> </w:t>
      </w:r>
      <w:r w:rsidRPr="003C3367">
        <w:rPr>
          <w:rFonts w:ascii="Times New Roman" w:hAnsi="Times New Roman"/>
          <w:sz w:val="24"/>
          <w:szCs w:val="24"/>
        </w:rPr>
        <w:t>l’Agenzia</w:t>
      </w:r>
      <w:r w:rsidR="00171A75">
        <w:rPr>
          <w:rFonts w:ascii="Times New Roman" w:hAnsi="Times New Roman"/>
          <w:sz w:val="24"/>
          <w:szCs w:val="24"/>
        </w:rPr>
        <w:t xml:space="preserve">, non avendo, tra l’altro, </w:t>
      </w:r>
      <w:r w:rsidR="00171A75" w:rsidRPr="003C3367">
        <w:rPr>
          <w:rFonts w:ascii="Times New Roman" w:hAnsi="Times New Roman"/>
          <w:sz w:val="24"/>
          <w:szCs w:val="24"/>
        </w:rPr>
        <w:t>mai somministrato in passato questionari di gradimento</w:t>
      </w:r>
      <w:r w:rsidR="00171A75">
        <w:rPr>
          <w:rFonts w:ascii="Times New Roman" w:hAnsi="Times New Roman"/>
          <w:sz w:val="24"/>
          <w:szCs w:val="24"/>
        </w:rPr>
        <w:t xml:space="preserve">, </w:t>
      </w:r>
      <w:r w:rsidRPr="003C3367">
        <w:rPr>
          <w:rFonts w:ascii="Times New Roman" w:hAnsi="Times New Roman"/>
          <w:sz w:val="24"/>
          <w:szCs w:val="24"/>
        </w:rPr>
        <w:t>ha deciso di fissare il target di riferimento ad un valore (60% di giudizi positivi rispetto al totale) che possa contemplare anche eventuali fenomeni distorsivi che potrebbero scaturire, ad esempio, dall’impossibilità oggettiva di risolvere alcune anomalie presentate perché effettivamente insanabili.</w:t>
      </w:r>
    </w:p>
    <w:p w:rsidR="001378E6" w:rsidRDefault="0096592E" w:rsidP="003C3367">
      <w:pPr>
        <w:jc w:val="both"/>
        <w:rPr>
          <w:rFonts w:ascii="Times New Roman" w:hAnsi="Times New Roman"/>
          <w:sz w:val="24"/>
          <w:szCs w:val="24"/>
        </w:rPr>
      </w:pPr>
      <w:r>
        <w:rPr>
          <w:rFonts w:ascii="Times New Roman" w:hAnsi="Times New Roman"/>
          <w:sz w:val="24"/>
          <w:szCs w:val="24"/>
        </w:rPr>
        <w:t xml:space="preserve">In ogni caso, l’ARCEA adotterà una costante azione di monitoraggio di tale indicatore, riservandosi, entro la prima metà dell’anno, di ricalibrarlo secondo la seguente linea metodologica: </w:t>
      </w:r>
    </w:p>
    <w:p w:rsidR="001378E6" w:rsidRPr="003C3367" w:rsidRDefault="00E12332" w:rsidP="003C3367">
      <w:pPr>
        <w:pStyle w:val="Paragrafoelenco"/>
        <w:numPr>
          <w:ilvl w:val="0"/>
          <w:numId w:val="74"/>
        </w:numPr>
        <w:jc w:val="both"/>
        <w:rPr>
          <w:rFonts w:ascii="Times New Roman" w:hAnsi="Times New Roman"/>
          <w:sz w:val="24"/>
          <w:szCs w:val="24"/>
        </w:rPr>
      </w:pPr>
      <w:r>
        <w:rPr>
          <w:rFonts w:ascii="Times New Roman" w:hAnsi="Times New Roman"/>
          <w:sz w:val="24"/>
          <w:szCs w:val="24"/>
        </w:rPr>
        <w:t>N</w:t>
      </w:r>
      <w:r w:rsidR="0096592E" w:rsidRPr="003C3367">
        <w:rPr>
          <w:rFonts w:ascii="Times New Roman" w:hAnsi="Times New Roman"/>
          <w:sz w:val="24"/>
          <w:szCs w:val="24"/>
        </w:rPr>
        <w:t xml:space="preserve">el caso in cui i giudizi apparissero estremamente distorti o negativi, si somministrerà un questionario di più ampia portata agli uffici centrali dei CAA con l’intento di comprendere le reali motivazioni delle opinioni fornite dagli operatori; in sede di rimodulazione del Piano, si indicherà come tale soluzione complementare sarà integrata nella misurazione dell’indicatore di impatto; </w:t>
      </w:r>
    </w:p>
    <w:p w:rsidR="001378E6" w:rsidRPr="003C3367" w:rsidRDefault="00E12332" w:rsidP="003C3367">
      <w:pPr>
        <w:pStyle w:val="Paragrafoelenco"/>
        <w:numPr>
          <w:ilvl w:val="0"/>
          <w:numId w:val="74"/>
        </w:numPr>
        <w:jc w:val="both"/>
        <w:rPr>
          <w:rFonts w:ascii="Times New Roman" w:hAnsi="Times New Roman"/>
          <w:sz w:val="24"/>
          <w:szCs w:val="24"/>
        </w:rPr>
      </w:pPr>
      <w:r>
        <w:rPr>
          <w:rFonts w:ascii="Times New Roman" w:hAnsi="Times New Roman"/>
          <w:sz w:val="24"/>
          <w:szCs w:val="24"/>
        </w:rPr>
        <w:t>N</w:t>
      </w:r>
      <w:r w:rsidR="0096592E" w:rsidRPr="003C3367">
        <w:rPr>
          <w:rFonts w:ascii="Times New Roman" w:hAnsi="Times New Roman"/>
          <w:sz w:val="24"/>
          <w:szCs w:val="24"/>
        </w:rPr>
        <w:t>el caso in cui, invece, i giudizi positivi superassero significativamente la soglia del 60%</w:t>
      </w:r>
      <w:r>
        <w:rPr>
          <w:rFonts w:ascii="Times New Roman" w:hAnsi="Times New Roman"/>
          <w:sz w:val="24"/>
          <w:szCs w:val="24"/>
        </w:rPr>
        <w:t>,</w:t>
      </w:r>
      <w:r w:rsidR="0096592E" w:rsidRPr="003C3367">
        <w:rPr>
          <w:rFonts w:ascii="Times New Roman" w:hAnsi="Times New Roman"/>
          <w:sz w:val="24"/>
          <w:szCs w:val="24"/>
        </w:rPr>
        <w:t xml:space="preserve"> si procederà alla rimodulazione </w:t>
      </w:r>
      <w:r>
        <w:rPr>
          <w:rFonts w:ascii="Times New Roman" w:hAnsi="Times New Roman"/>
          <w:sz w:val="24"/>
          <w:szCs w:val="24"/>
        </w:rPr>
        <w:t xml:space="preserve">in aumento </w:t>
      </w:r>
      <w:r w:rsidR="0096592E" w:rsidRPr="003C3367">
        <w:rPr>
          <w:rFonts w:ascii="Times New Roman" w:hAnsi="Times New Roman"/>
          <w:sz w:val="24"/>
          <w:szCs w:val="24"/>
        </w:rPr>
        <w:t>del livello minimo da raggiungere così da mantenere il carattere sfidante e orientato al miglioramento dell’indicatore</w:t>
      </w:r>
      <w:r>
        <w:rPr>
          <w:rFonts w:ascii="Times New Roman" w:hAnsi="Times New Roman"/>
          <w:sz w:val="24"/>
          <w:szCs w:val="24"/>
        </w:rPr>
        <w:t xml:space="preserve">. </w:t>
      </w:r>
    </w:p>
    <w:p w:rsidR="001378E6" w:rsidRPr="0031092E" w:rsidRDefault="0031092E" w:rsidP="003C3367">
      <w:pPr>
        <w:jc w:val="both"/>
        <w:rPr>
          <w:rFonts w:ascii="Times New Roman" w:hAnsi="Times New Roman"/>
          <w:b/>
          <w:sz w:val="24"/>
          <w:szCs w:val="24"/>
        </w:rPr>
      </w:pPr>
      <w:r w:rsidRPr="0031092E">
        <w:rPr>
          <w:rFonts w:ascii="Times New Roman" w:hAnsi="Times New Roman"/>
          <w:b/>
          <w:sz w:val="24"/>
          <w:szCs w:val="24"/>
        </w:rPr>
        <w:t xml:space="preserve">II.2.1 (Raggiungimento del target relativo all’N+3 per il Fondo FEASR) e II.2.2.2 (Raggiungimento del target di spesa relativo al Fondo FEAGA per le domande presentate nella campagna) </w:t>
      </w:r>
    </w:p>
    <w:p w:rsidR="001378E6" w:rsidRDefault="0096592E" w:rsidP="003C3367">
      <w:pPr>
        <w:jc w:val="both"/>
        <w:rPr>
          <w:rFonts w:ascii="Times New Roman" w:hAnsi="Times New Roman"/>
          <w:sz w:val="24"/>
          <w:szCs w:val="24"/>
        </w:rPr>
      </w:pPr>
      <w:r>
        <w:rPr>
          <w:rFonts w:ascii="Times New Roman" w:hAnsi="Times New Roman"/>
          <w:sz w:val="24"/>
          <w:szCs w:val="24"/>
        </w:rPr>
        <w:t xml:space="preserve">Tali indicatori sono direttamente legati ai Regolamenti Comunitari che disciplinano le erogazioni in Agricoltura e rappresentano le soglie di spesa che devono essere necessariamente raggiunte per evitare il disimpegno delle somme destinate alla Calabria per i fondi FEASR e FEAGA. </w:t>
      </w:r>
    </w:p>
    <w:p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dell’ “n+3” che consente all’Organismo Pagatore di effettuare i pagamenti entro i tre anni successivi a quello di riferimento.</w:t>
      </w:r>
    </w:p>
    <w:p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rsidR="0031092E" w:rsidRDefault="0031092E" w:rsidP="0031092E">
      <w:pPr>
        <w:jc w:val="both"/>
        <w:rPr>
          <w:rFonts w:ascii="Times New Roman" w:hAnsi="Times New Roman"/>
          <w:sz w:val="24"/>
          <w:szCs w:val="24"/>
        </w:rPr>
      </w:pPr>
      <w:r>
        <w:rPr>
          <w:rFonts w:ascii="Times New Roman" w:hAnsi="Times New Roman"/>
          <w:sz w:val="24"/>
          <w:szCs w:val="24"/>
        </w:rPr>
        <w:t xml:space="preserve">Il raggiungimento dei target prefissati assume un valore strategico per l’Agenzia e qualifica in maniera significativa l’azione amministrativa dell’ARCEA. </w:t>
      </w:r>
    </w:p>
    <w:p w:rsidR="0031092E" w:rsidRPr="0031092E" w:rsidRDefault="0031092E" w:rsidP="0031092E">
      <w:pPr>
        <w:jc w:val="both"/>
        <w:rPr>
          <w:rFonts w:ascii="Times New Roman" w:hAnsi="Times New Roman"/>
          <w:b/>
          <w:sz w:val="24"/>
          <w:szCs w:val="24"/>
        </w:rPr>
      </w:pPr>
      <w:r w:rsidRPr="0031092E">
        <w:rPr>
          <w:rFonts w:ascii="Times New Roman" w:hAnsi="Times New Roman"/>
          <w:b/>
          <w:sz w:val="24"/>
          <w:szCs w:val="24"/>
        </w:rPr>
        <w:lastRenderedPageBreak/>
        <w:t>II3.1: (Possibilità per beneficiari e gli utenti di ARCEA di accedere ad almeno un’applicazione messa a disposizione dell’Agenzia tramite SPID) PESO: 100%</w:t>
      </w:r>
    </w:p>
    <w:p w:rsidR="001378E6" w:rsidRDefault="0096592E" w:rsidP="003C3367">
      <w:pPr>
        <w:jc w:val="both"/>
        <w:rPr>
          <w:rFonts w:ascii="Times New Roman" w:hAnsi="Times New Roman"/>
          <w:sz w:val="24"/>
          <w:szCs w:val="24"/>
        </w:rPr>
      </w:pPr>
      <w:r>
        <w:rPr>
          <w:rFonts w:ascii="Times New Roman" w:hAnsi="Times New Roman"/>
          <w:sz w:val="24"/>
          <w:szCs w:val="24"/>
        </w:rPr>
        <w:t xml:space="preserve">L’indicatore connesso all’obiettivo strategico 3 rappresenta la volontà dell’ARCEA di recepire lo spirito del Piano Triennale per l’Informatizzazione della Pubblica Amministrazione fornendo, al contempo, un servizio a valore aggiunto per i cittadini. </w:t>
      </w:r>
    </w:p>
    <w:p w:rsidR="001378E6" w:rsidRDefault="0096592E" w:rsidP="003C3367">
      <w:pPr>
        <w:jc w:val="both"/>
        <w:rPr>
          <w:rFonts w:ascii="Times New Roman" w:hAnsi="Times New Roman"/>
          <w:sz w:val="24"/>
          <w:szCs w:val="24"/>
        </w:rPr>
      </w:pPr>
      <w:r>
        <w:rPr>
          <w:rFonts w:ascii="Times New Roman" w:hAnsi="Times New Roman"/>
          <w:sz w:val="24"/>
          <w:szCs w:val="24"/>
        </w:rPr>
        <w:t xml:space="preserve">Tra le maggiori difficoltà incontrate oggi dai cittadini nella loro interlocuzione con i sistemi delle pubbliche amministrazioni, un ruolo sicuramente non secondario, che incide tra l’altro anche in maniera consistente sulla sicurezza di tutta l’infrastruttura nazionale, è rappresentato dai sistemi di identificazione e autenticazione sui diversi portali istituzionali. </w:t>
      </w:r>
    </w:p>
    <w:p w:rsidR="001378E6" w:rsidRDefault="0096592E" w:rsidP="003C3367">
      <w:pPr>
        <w:jc w:val="both"/>
        <w:rPr>
          <w:rFonts w:ascii="Times New Roman" w:hAnsi="Times New Roman"/>
          <w:sz w:val="24"/>
          <w:szCs w:val="24"/>
        </w:rPr>
      </w:pPr>
      <w:r>
        <w:rPr>
          <w:rFonts w:ascii="Times New Roman" w:hAnsi="Times New Roman"/>
          <w:sz w:val="24"/>
          <w:szCs w:val="24"/>
        </w:rPr>
        <w:t xml:space="preserve">Dovendo, infatti, entrare nei siti di amministrazioni regionali, provinciali, governative o territoriali, tutti gli utenti devono necessariamente effettuare diverse registrazioni, creare credenziali dedicate, ricordare password ed utilizzare strumenti profondamente differenti tra loro con il rischio che le informazioni relative alle identità digitali possano essere più facilmente divulgate, compromesse e utilizzate in maniera distorta, con evidenti problemi sull’integrità e la riservatezza dei servizi pubblici offerti. </w:t>
      </w:r>
    </w:p>
    <w:p w:rsidR="001378E6" w:rsidRDefault="0096592E" w:rsidP="003C3367">
      <w:pPr>
        <w:jc w:val="both"/>
        <w:rPr>
          <w:rFonts w:ascii="Times New Roman" w:hAnsi="Times New Roman"/>
          <w:sz w:val="24"/>
          <w:szCs w:val="24"/>
        </w:rPr>
      </w:pPr>
      <w:r>
        <w:rPr>
          <w:rFonts w:ascii="Times New Roman" w:hAnsi="Times New Roman"/>
          <w:sz w:val="24"/>
          <w:szCs w:val="24"/>
        </w:rPr>
        <w:t>Per porre rimedio a tale situazione, già da qualche anno è partito in Italia il progetto “SPID” (il cui acronimo da un lato sintetizza la locuzione “Sistema Pubblico di Identità Digitale” e dall’altro richiama foneticamente l’aggettivo inglese “</w:t>
      </w:r>
      <w:proofErr w:type="spellStart"/>
      <w:r>
        <w:rPr>
          <w:rFonts w:ascii="Times New Roman" w:hAnsi="Times New Roman"/>
          <w:sz w:val="24"/>
          <w:szCs w:val="24"/>
        </w:rPr>
        <w:t>Speed</w:t>
      </w:r>
      <w:proofErr w:type="spellEnd"/>
      <w:r>
        <w:rPr>
          <w:rFonts w:ascii="Times New Roman" w:hAnsi="Times New Roman"/>
          <w:sz w:val="24"/>
          <w:szCs w:val="24"/>
        </w:rPr>
        <w:t xml:space="preserve">”, ossia “veloce”) che intende proporsi come il canale unico, sicuro e certificato per identificarsi su tutti i portali delle pubbliche amministrazioni italiane e che a breve sarà utilizzabile anche per una vasta platea di servizi offerti da soggetti privati. </w:t>
      </w:r>
    </w:p>
    <w:p w:rsidR="001378E6" w:rsidRDefault="0096592E" w:rsidP="003C3367">
      <w:pPr>
        <w:jc w:val="both"/>
        <w:rPr>
          <w:rFonts w:ascii="Times New Roman" w:hAnsi="Times New Roman"/>
          <w:sz w:val="24"/>
          <w:szCs w:val="24"/>
        </w:rPr>
      </w:pPr>
      <w:r>
        <w:rPr>
          <w:rFonts w:ascii="Times New Roman" w:hAnsi="Times New Roman"/>
          <w:sz w:val="24"/>
          <w:szCs w:val="24"/>
        </w:rPr>
        <w:t>Poiché la realizzazione dell’indicatore non dipende solo dalle attività poste in essere dall’ARCEA ma anche dalle interlocuzioni con soggetti esterni</w:t>
      </w:r>
      <w:r w:rsidR="009C02C0">
        <w:rPr>
          <w:rFonts w:ascii="Times New Roman" w:hAnsi="Times New Roman"/>
          <w:sz w:val="24"/>
          <w:szCs w:val="24"/>
        </w:rPr>
        <w:t>,</w:t>
      </w:r>
      <w:r>
        <w:rPr>
          <w:rFonts w:ascii="Times New Roman" w:hAnsi="Times New Roman"/>
          <w:sz w:val="24"/>
          <w:szCs w:val="24"/>
        </w:rPr>
        <w:t xml:space="preserve"> quali l’Agenzia per l’Italia Digitale, </w:t>
      </w:r>
      <w:r w:rsidR="009C02C0">
        <w:rPr>
          <w:rFonts w:ascii="Times New Roman" w:hAnsi="Times New Roman"/>
          <w:sz w:val="24"/>
          <w:szCs w:val="24"/>
        </w:rPr>
        <w:t xml:space="preserve">sulla cui tempi di intervento non è possibile incidere, </w:t>
      </w:r>
      <w:r>
        <w:rPr>
          <w:rFonts w:ascii="Times New Roman" w:hAnsi="Times New Roman"/>
          <w:sz w:val="24"/>
          <w:szCs w:val="24"/>
        </w:rPr>
        <w:t xml:space="preserve">si è deciso di individuare la seguente scala di misurazione, suddividendo l’obiettivo finale in quattro </w:t>
      </w:r>
      <w:proofErr w:type="spellStart"/>
      <w:r w:rsidRPr="009B7CE6">
        <w:rPr>
          <w:rFonts w:ascii="Times New Roman" w:hAnsi="Times New Roman"/>
          <w:i/>
          <w:sz w:val="24"/>
          <w:szCs w:val="24"/>
        </w:rPr>
        <w:t>milestone</w:t>
      </w:r>
      <w:proofErr w:type="spellEnd"/>
      <w:r>
        <w:rPr>
          <w:rFonts w:ascii="Times New Roman" w:hAnsi="Times New Roman"/>
          <w:sz w:val="24"/>
          <w:szCs w:val="24"/>
        </w:rPr>
        <w:t>, che permetteranno anche di eseguire con maggiore semplicità i monitoraggi intermedi:</w:t>
      </w:r>
    </w:p>
    <w:p w:rsidR="001378E6" w:rsidRPr="003C3367" w:rsidRDefault="0096592E" w:rsidP="003C3367">
      <w:pPr>
        <w:pStyle w:val="Paragrafoelenco"/>
        <w:numPr>
          <w:ilvl w:val="1"/>
          <w:numId w:val="30"/>
        </w:numPr>
        <w:tabs>
          <w:tab w:val="clear" w:pos="1440"/>
        </w:tabs>
        <w:ind w:left="851" w:hanging="709"/>
        <w:jc w:val="both"/>
        <w:rPr>
          <w:rFonts w:ascii="Times New Roman" w:hAnsi="Times New Roman"/>
          <w:sz w:val="24"/>
          <w:szCs w:val="24"/>
        </w:rPr>
      </w:pPr>
      <w:r>
        <w:rPr>
          <w:rFonts w:ascii="Times New Roman" w:hAnsi="Times New Roman"/>
          <w:sz w:val="24"/>
          <w:szCs w:val="24"/>
        </w:rPr>
        <w:t xml:space="preserve">Definizione, creazione e </w:t>
      </w:r>
      <w:r w:rsidRPr="003C3367">
        <w:rPr>
          <w:rFonts w:ascii="Times New Roman" w:hAnsi="Times New Roman"/>
          <w:sz w:val="24"/>
          <w:szCs w:val="24"/>
        </w:rPr>
        <w:t xml:space="preserve">Pubblicazione </w:t>
      </w:r>
      <w:r>
        <w:rPr>
          <w:rFonts w:ascii="Times New Roman" w:hAnsi="Times New Roman"/>
          <w:sz w:val="24"/>
          <w:szCs w:val="24"/>
        </w:rPr>
        <w:t>dei</w:t>
      </w:r>
      <w:r w:rsidRPr="003C3367">
        <w:rPr>
          <w:rFonts w:ascii="Times New Roman" w:hAnsi="Times New Roman"/>
          <w:sz w:val="24"/>
          <w:szCs w:val="24"/>
        </w:rPr>
        <w:t xml:space="preserve"> metadati: 20% di raggiungimento del target; </w:t>
      </w:r>
    </w:p>
    <w:p w:rsidR="001378E6" w:rsidRDefault="0096592E" w:rsidP="003C3367">
      <w:pPr>
        <w:pStyle w:val="Paragrafoelenco"/>
        <w:numPr>
          <w:ilvl w:val="1"/>
          <w:numId w:val="30"/>
        </w:numPr>
        <w:tabs>
          <w:tab w:val="clear" w:pos="1440"/>
        </w:tabs>
        <w:ind w:left="851" w:hanging="709"/>
        <w:jc w:val="both"/>
        <w:rPr>
          <w:rFonts w:ascii="Times New Roman" w:hAnsi="Times New Roman"/>
          <w:sz w:val="24"/>
          <w:szCs w:val="24"/>
        </w:rPr>
      </w:pPr>
      <w:r>
        <w:rPr>
          <w:rFonts w:ascii="Times New Roman" w:hAnsi="Times New Roman"/>
          <w:sz w:val="24"/>
          <w:szCs w:val="24"/>
        </w:rPr>
        <w:t xml:space="preserve">Messa in produzione del modulo software di interconnessione con SPID attraverso il linguaggio SAML: 60% (complessivo) </w:t>
      </w:r>
      <w:r w:rsidR="0074533F">
        <w:rPr>
          <w:rFonts w:ascii="Times New Roman" w:hAnsi="Times New Roman"/>
          <w:sz w:val="24"/>
          <w:szCs w:val="24"/>
        </w:rPr>
        <w:t>di</w:t>
      </w:r>
      <w:r>
        <w:rPr>
          <w:rFonts w:ascii="Times New Roman" w:hAnsi="Times New Roman"/>
          <w:sz w:val="24"/>
          <w:szCs w:val="24"/>
        </w:rPr>
        <w:t xml:space="preserve"> raggiungimento del target; </w:t>
      </w:r>
    </w:p>
    <w:p w:rsidR="001378E6" w:rsidRDefault="0096592E" w:rsidP="003C3367">
      <w:pPr>
        <w:pStyle w:val="Paragrafoelenco"/>
        <w:numPr>
          <w:ilvl w:val="1"/>
          <w:numId w:val="30"/>
        </w:numPr>
        <w:tabs>
          <w:tab w:val="clear" w:pos="1440"/>
        </w:tabs>
        <w:ind w:left="851" w:hanging="709"/>
        <w:jc w:val="both"/>
        <w:rPr>
          <w:rFonts w:ascii="Times New Roman" w:hAnsi="Times New Roman"/>
          <w:sz w:val="24"/>
          <w:szCs w:val="24"/>
        </w:rPr>
      </w:pPr>
      <w:r>
        <w:rPr>
          <w:rFonts w:ascii="Times New Roman" w:hAnsi="Times New Roman"/>
          <w:sz w:val="24"/>
          <w:szCs w:val="24"/>
        </w:rPr>
        <w:t xml:space="preserve">Successo delle attività di test previste dal processo di adesione a SPID: 80% (complessivo) di raggiungimento del target. In questa fase il progetto è operativamente concluso e l’interlocuzione con SPID è già funzionante. </w:t>
      </w:r>
    </w:p>
    <w:p w:rsidR="001378E6" w:rsidRDefault="00B35849" w:rsidP="003C3367">
      <w:pPr>
        <w:pStyle w:val="Paragrafoelenco"/>
        <w:numPr>
          <w:ilvl w:val="1"/>
          <w:numId w:val="30"/>
        </w:numPr>
        <w:tabs>
          <w:tab w:val="clear" w:pos="1440"/>
        </w:tabs>
        <w:ind w:left="851" w:hanging="709"/>
        <w:jc w:val="both"/>
        <w:rPr>
          <w:rFonts w:ascii="Times New Roman" w:hAnsi="Times New Roman"/>
          <w:sz w:val="24"/>
          <w:szCs w:val="24"/>
        </w:rPr>
      </w:pPr>
      <w:r>
        <w:rPr>
          <w:rFonts w:ascii="Times New Roman" w:hAnsi="Times New Roman"/>
          <w:sz w:val="24"/>
          <w:szCs w:val="24"/>
        </w:rPr>
        <w:t>Di</w:t>
      </w:r>
      <w:r w:rsidR="00D90F50">
        <w:rPr>
          <w:rFonts w:ascii="Times New Roman" w:hAnsi="Times New Roman"/>
          <w:sz w:val="24"/>
          <w:szCs w:val="24"/>
        </w:rPr>
        <w:t>sponibilità online del servizio</w:t>
      </w:r>
      <w:r w:rsidR="0096592E">
        <w:rPr>
          <w:rFonts w:ascii="Times New Roman" w:hAnsi="Times New Roman"/>
          <w:sz w:val="24"/>
          <w:szCs w:val="24"/>
        </w:rPr>
        <w:t xml:space="preserve">: 100% (complessivo) di raggiungimento del target. </w:t>
      </w:r>
    </w:p>
    <w:p w:rsidR="001378E6" w:rsidRPr="003C3367" w:rsidRDefault="001378E6" w:rsidP="003C3367">
      <w:pPr>
        <w:pStyle w:val="Paragrafoelenco"/>
        <w:ind w:left="1440"/>
        <w:jc w:val="both"/>
        <w:rPr>
          <w:rFonts w:ascii="Times New Roman" w:hAnsi="Times New Roman"/>
          <w:sz w:val="24"/>
          <w:szCs w:val="24"/>
        </w:rPr>
      </w:pPr>
    </w:p>
    <w:p w:rsidR="001378E6" w:rsidRDefault="0096592E" w:rsidP="003C3367">
      <w:pPr>
        <w:jc w:val="both"/>
        <w:rPr>
          <w:rFonts w:ascii="Times New Roman" w:hAnsi="Times New Roman"/>
          <w:sz w:val="24"/>
          <w:szCs w:val="24"/>
          <w:u w:val="single"/>
        </w:rPr>
      </w:pPr>
      <w:r>
        <w:rPr>
          <w:rFonts w:ascii="Times New Roman" w:hAnsi="Times New Roman"/>
          <w:sz w:val="24"/>
          <w:szCs w:val="24"/>
          <w:u w:val="single"/>
        </w:rPr>
        <w:t>Indicatori degli obiettivi operativi:</w:t>
      </w:r>
    </w:p>
    <w:p w:rsidR="00AF5256" w:rsidRPr="0064314B" w:rsidRDefault="0096592E" w:rsidP="0015130B">
      <w:pPr>
        <w:jc w:val="both"/>
        <w:rPr>
          <w:rFonts w:ascii="Times New Roman" w:hAnsi="Times New Roman"/>
          <w:b/>
          <w:sz w:val="24"/>
          <w:szCs w:val="24"/>
        </w:rPr>
      </w:pPr>
      <w:r>
        <w:rPr>
          <w:rFonts w:ascii="Times New Roman" w:hAnsi="Times New Roman"/>
          <w:sz w:val="24"/>
          <w:szCs w:val="24"/>
        </w:rPr>
        <w:t xml:space="preserve">In ossequio alle indicazioni provenienti dall'OIV, gli indicatori legati agli obiettivi sono stati razionalizzati in funzione degli effettivi risultati da conseguire. </w:t>
      </w:r>
      <w:r w:rsidR="0064314B" w:rsidRPr="0064314B">
        <w:rPr>
          <w:rFonts w:ascii="Times New Roman" w:hAnsi="Times New Roman"/>
          <w:b/>
          <w:sz w:val="24"/>
          <w:szCs w:val="24"/>
        </w:rPr>
        <w:t xml:space="preserve">Nella presente sezione sono fornite anche alcune informazioni metodologiche finalizzate a rendere maggiormente trasparente ed oggetto il processo di misurazione degli indicatori. </w:t>
      </w:r>
    </w:p>
    <w:p w:rsidR="002F1F38" w:rsidRPr="00E63330" w:rsidRDefault="0096592E" w:rsidP="00835DC8">
      <w:pPr>
        <w:jc w:val="both"/>
        <w:rPr>
          <w:rFonts w:ascii="Times New Roman" w:hAnsi="Times New Roman"/>
          <w:sz w:val="24"/>
          <w:szCs w:val="24"/>
        </w:rPr>
      </w:pPr>
      <w:r>
        <w:rPr>
          <w:rFonts w:ascii="Times New Roman" w:hAnsi="Times New Roman"/>
          <w:sz w:val="24"/>
          <w:szCs w:val="24"/>
        </w:rPr>
        <w:lastRenderedPageBreak/>
        <w:t>Il processo di razionalizzazione</w:t>
      </w:r>
      <w:r w:rsidR="00171A75">
        <w:rPr>
          <w:rFonts w:ascii="Times New Roman" w:hAnsi="Times New Roman"/>
          <w:sz w:val="24"/>
          <w:szCs w:val="24"/>
        </w:rPr>
        <w:t xml:space="preserve"> degli strumenti di misurazione</w:t>
      </w:r>
      <w:r>
        <w:rPr>
          <w:rFonts w:ascii="Times New Roman" w:hAnsi="Times New Roman"/>
          <w:sz w:val="24"/>
          <w:szCs w:val="24"/>
        </w:rPr>
        <w:t>, avviato</w:t>
      </w:r>
      <w:r w:rsidR="00171A75">
        <w:rPr>
          <w:rFonts w:ascii="Times New Roman" w:hAnsi="Times New Roman"/>
          <w:sz w:val="24"/>
          <w:szCs w:val="24"/>
        </w:rPr>
        <w:t>, su suggerimento dell’OIV,</w:t>
      </w:r>
      <w:r>
        <w:rPr>
          <w:rFonts w:ascii="Times New Roman" w:hAnsi="Times New Roman"/>
          <w:sz w:val="24"/>
          <w:szCs w:val="24"/>
        </w:rPr>
        <w:t xml:space="preserve"> nel 2016 e proseguito sia nel 2017 che nel 2018, viene</w:t>
      </w:r>
      <w:r w:rsidR="009B7CE6">
        <w:rPr>
          <w:rFonts w:ascii="Times New Roman" w:hAnsi="Times New Roman"/>
          <w:sz w:val="24"/>
          <w:szCs w:val="24"/>
        </w:rPr>
        <w:t xml:space="preserve"> </w:t>
      </w:r>
      <w:r>
        <w:rPr>
          <w:rFonts w:ascii="Times New Roman" w:hAnsi="Times New Roman"/>
          <w:sz w:val="24"/>
          <w:szCs w:val="24"/>
        </w:rPr>
        <w:t xml:space="preserve">ulteriormente </w:t>
      </w:r>
      <w:r w:rsidR="00505E02">
        <w:rPr>
          <w:rFonts w:ascii="Times New Roman" w:hAnsi="Times New Roman"/>
          <w:sz w:val="24"/>
          <w:szCs w:val="24"/>
        </w:rPr>
        <w:t>confermato nel presente Pian</w:t>
      </w:r>
      <w:r w:rsidR="00171A75">
        <w:rPr>
          <w:rFonts w:ascii="Times New Roman" w:hAnsi="Times New Roman"/>
          <w:sz w:val="24"/>
          <w:szCs w:val="24"/>
        </w:rPr>
        <w:t>o</w:t>
      </w:r>
      <w:r w:rsidR="00505E02">
        <w:rPr>
          <w:rFonts w:ascii="Times New Roman" w:hAnsi="Times New Roman"/>
          <w:sz w:val="24"/>
          <w:szCs w:val="24"/>
        </w:rPr>
        <w:t xml:space="preserve"> attraverso la selezione degli</w:t>
      </w:r>
      <w:r>
        <w:rPr>
          <w:rFonts w:ascii="Times New Roman" w:hAnsi="Times New Roman"/>
          <w:sz w:val="24"/>
          <w:szCs w:val="24"/>
        </w:rPr>
        <w:t xml:space="preserve"> indicatori maggiormente rappresentativi per ciascun obiettivo.</w:t>
      </w:r>
    </w:p>
    <w:p w:rsidR="00962ACB" w:rsidRPr="00E63330" w:rsidRDefault="0096592E" w:rsidP="0015130B">
      <w:pPr>
        <w:jc w:val="both"/>
        <w:rPr>
          <w:rFonts w:ascii="Times New Roman" w:hAnsi="Times New Roman"/>
          <w:sz w:val="24"/>
          <w:szCs w:val="24"/>
        </w:rPr>
      </w:pPr>
      <w:bookmarkStart w:id="89" w:name="OLE_LINK109"/>
      <w:bookmarkStart w:id="90" w:name="OLE_LINK110"/>
      <w:r>
        <w:rPr>
          <w:rFonts w:ascii="Times New Roman" w:hAnsi="Times New Roman"/>
          <w:sz w:val="24"/>
          <w:szCs w:val="24"/>
        </w:rPr>
        <w:t>Con riguardo all’obiettivo strategico n. 1 “Mantenimento dei criteri di riconoscimento quale Organismo Pagatore, ai sensi del Reg. (CE) n. 907/14”, gli indicatori prescelti per la misurazione degli obiettivi operativi sono strettamente connessi all’operatività complessiva dell’ARCEA, in modo tale da verificare e monitorare l’andamento dei processi lavorativi che permettono all’Agenzia di adempiere alle funzioni attribuite dalla normativa comunitaria e nazionale di riferimento.</w:t>
      </w:r>
    </w:p>
    <w:p w:rsidR="00457A82" w:rsidRPr="00E63330" w:rsidRDefault="0096592E" w:rsidP="0015130B">
      <w:pPr>
        <w:jc w:val="both"/>
        <w:rPr>
          <w:rFonts w:ascii="Times New Roman" w:hAnsi="Times New Roman"/>
          <w:sz w:val="24"/>
          <w:szCs w:val="24"/>
        </w:rPr>
      </w:pPr>
      <w:r>
        <w:rPr>
          <w:rFonts w:ascii="Times New Roman" w:hAnsi="Times New Roman"/>
          <w:sz w:val="24"/>
          <w:szCs w:val="24"/>
        </w:rPr>
        <w:t xml:space="preserve">Nello specifico, per l’obiettivo operativo 1.1. (“Garantire un adeguato ambiente interno, anche con riferimento al corretto funzionamento dell’Agenzia”), sono stati individuati 2 indicatori: </w:t>
      </w:r>
    </w:p>
    <w:p w:rsidR="001378E6" w:rsidRPr="003C3367" w:rsidRDefault="00D64F67" w:rsidP="003C3367">
      <w:pPr>
        <w:pStyle w:val="Paragrafoelenco"/>
        <w:numPr>
          <w:ilvl w:val="0"/>
          <w:numId w:val="58"/>
        </w:numPr>
        <w:jc w:val="both"/>
        <w:rPr>
          <w:rFonts w:ascii="Times New Roman" w:hAnsi="Times New Roman"/>
          <w:sz w:val="24"/>
          <w:szCs w:val="24"/>
        </w:rPr>
      </w:pPr>
      <w:r>
        <w:rPr>
          <w:rFonts w:ascii="Times New Roman" w:hAnsi="Times New Roman"/>
          <w:sz w:val="24"/>
          <w:szCs w:val="24"/>
        </w:rPr>
        <w:t>Il</w:t>
      </w:r>
      <w:r w:rsidR="0096592E" w:rsidRPr="003C3367">
        <w:rPr>
          <w:rFonts w:ascii="Times New Roman" w:hAnsi="Times New Roman"/>
          <w:sz w:val="24"/>
          <w:szCs w:val="24"/>
        </w:rPr>
        <w:t xml:space="preserve"> primo (I1.1.1), al quale è stato attribuito un peso maggiore in relazione all’importanza rivestita per l’operatività dell’Agenzia, si riconnette in modo assai stretto alle risultanze dei controlli effettuati sull’ARCEA da parte dell’Organismo di Certificazione dei Conti, che costituisce il presupposto per il mantenimento del riconoscimento;</w:t>
      </w:r>
    </w:p>
    <w:p w:rsidR="001378E6" w:rsidRPr="003C3367" w:rsidRDefault="00D64F67" w:rsidP="003C3367">
      <w:pPr>
        <w:pStyle w:val="Paragrafoelenco"/>
        <w:numPr>
          <w:ilvl w:val="0"/>
          <w:numId w:val="58"/>
        </w:numPr>
        <w:jc w:val="both"/>
        <w:rPr>
          <w:rFonts w:ascii="Times New Roman" w:hAnsi="Times New Roman"/>
          <w:sz w:val="24"/>
          <w:szCs w:val="24"/>
        </w:rPr>
      </w:pPr>
      <w:r>
        <w:rPr>
          <w:rFonts w:ascii="Times New Roman" w:hAnsi="Times New Roman"/>
          <w:sz w:val="24"/>
          <w:szCs w:val="24"/>
        </w:rPr>
        <w:t>Il</w:t>
      </w:r>
      <w:r w:rsidR="0096592E" w:rsidRPr="003C3367">
        <w:rPr>
          <w:rFonts w:ascii="Times New Roman" w:hAnsi="Times New Roman"/>
          <w:sz w:val="24"/>
          <w:szCs w:val="24"/>
        </w:rPr>
        <w:t xml:space="preserve"> secondo </w:t>
      </w:r>
      <w:r w:rsidR="00505E02" w:rsidRPr="003C3367">
        <w:rPr>
          <w:rFonts w:ascii="Times New Roman" w:hAnsi="Times New Roman"/>
          <w:sz w:val="24"/>
          <w:szCs w:val="24"/>
        </w:rPr>
        <w:t>(I1.1.</w:t>
      </w:r>
      <w:r w:rsidR="00505E02">
        <w:rPr>
          <w:rFonts w:ascii="Times New Roman" w:hAnsi="Times New Roman"/>
          <w:sz w:val="24"/>
          <w:szCs w:val="24"/>
        </w:rPr>
        <w:t>2</w:t>
      </w:r>
      <w:r w:rsidR="00505E02" w:rsidRPr="003C3367">
        <w:rPr>
          <w:rFonts w:ascii="Times New Roman" w:hAnsi="Times New Roman"/>
          <w:sz w:val="24"/>
          <w:szCs w:val="24"/>
        </w:rPr>
        <w:t>)</w:t>
      </w:r>
      <w:r w:rsidR="00505E02">
        <w:rPr>
          <w:rFonts w:ascii="Times New Roman" w:hAnsi="Times New Roman"/>
          <w:sz w:val="24"/>
          <w:szCs w:val="24"/>
        </w:rPr>
        <w:t xml:space="preserve"> </w:t>
      </w:r>
      <w:r w:rsidR="0096592E" w:rsidRPr="003C3367">
        <w:rPr>
          <w:rFonts w:ascii="Times New Roman" w:hAnsi="Times New Roman"/>
          <w:sz w:val="24"/>
          <w:szCs w:val="24"/>
        </w:rPr>
        <w:t xml:space="preserve">si lega alla necessità di migliorare il processo di erogazione dei corsi di formazione a favore di tutto il Personale dell’Agenzia. Nello scorso anno, infatti, solamente un evento è stato rivolto a tutto il personale mentre per il 2019 si intende garantire che </w:t>
      </w:r>
      <w:r w:rsidR="00171A75">
        <w:rPr>
          <w:rFonts w:ascii="Times New Roman" w:hAnsi="Times New Roman"/>
          <w:sz w:val="24"/>
          <w:szCs w:val="24"/>
        </w:rPr>
        <w:t xml:space="preserve">sia prevista per </w:t>
      </w:r>
      <w:r w:rsidR="0096592E" w:rsidRPr="003C3367">
        <w:rPr>
          <w:rFonts w:ascii="Times New Roman" w:hAnsi="Times New Roman"/>
          <w:sz w:val="24"/>
          <w:szCs w:val="24"/>
        </w:rPr>
        <w:t xml:space="preserve">ogni dipendente dell’ARCEA </w:t>
      </w:r>
      <w:r w:rsidR="00171A75">
        <w:rPr>
          <w:rFonts w:ascii="Times New Roman" w:hAnsi="Times New Roman"/>
          <w:sz w:val="24"/>
          <w:szCs w:val="24"/>
        </w:rPr>
        <w:t xml:space="preserve">la </w:t>
      </w:r>
      <w:r w:rsidR="0096592E" w:rsidRPr="003C3367">
        <w:rPr>
          <w:rFonts w:ascii="Times New Roman" w:hAnsi="Times New Roman"/>
          <w:sz w:val="24"/>
          <w:szCs w:val="24"/>
        </w:rPr>
        <w:t>partecip</w:t>
      </w:r>
      <w:r w:rsidR="00171A75">
        <w:rPr>
          <w:rFonts w:ascii="Times New Roman" w:hAnsi="Times New Roman"/>
          <w:sz w:val="24"/>
          <w:szCs w:val="24"/>
        </w:rPr>
        <w:t>azione</w:t>
      </w:r>
      <w:r w:rsidR="0096592E" w:rsidRPr="003C3367">
        <w:rPr>
          <w:rFonts w:ascii="Times New Roman" w:hAnsi="Times New Roman"/>
          <w:sz w:val="24"/>
          <w:szCs w:val="24"/>
        </w:rPr>
        <w:t xml:space="preserve"> ad almeno 3 eventi formativi. </w:t>
      </w:r>
      <w:r w:rsidR="0096592E">
        <w:rPr>
          <w:rFonts w:ascii="Times New Roman" w:hAnsi="Times New Roman"/>
          <w:sz w:val="24"/>
          <w:szCs w:val="24"/>
        </w:rPr>
        <w:t xml:space="preserve">E’ importante sottolineare come la formazione del personale rientri tra gli adempimenti che un Organismo Pagatore deve garantire ai fini del mantenimento del riconoscimento. </w:t>
      </w:r>
      <w:r w:rsidR="00B22D21">
        <w:rPr>
          <w:rFonts w:ascii="Times New Roman" w:hAnsi="Times New Roman"/>
          <w:sz w:val="24"/>
          <w:szCs w:val="24"/>
        </w:rPr>
        <w:t>Ai fini del calcolo del presente indicatore si prenderà in considerazione il</w:t>
      </w:r>
      <w:r w:rsidR="0064314B">
        <w:rPr>
          <w:rFonts w:ascii="Times New Roman" w:hAnsi="Times New Roman"/>
          <w:sz w:val="24"/>
          <w:szCs w:val="24"/>
        </w:rPr>
        <w:t xml:space="preserve"> dipendente che ha partecipato al minor numero di corsi di formazione. Qualora un dipendente risultasse iscritto o invitato dall’amministrazione ad un corso e non potesse prendervi parte perché assente per giustificati motivi, l’evento in questione sarebbe comunque conteggiato nel processo di calcolo dell’indicatore. </w:t>
      </w:r>
    </w:p>
    <w:p w:rsidR="002044D3" w:rsidRPr="00E63330" w:rsidRDefault="0096592E" w:rsidP="0015130B">
      <w:pPr>
        <w:jc w:val="both"/>
        <w:rPr>
          <w:rFonts w:ascii="Times New Roman" w:hAnsi="Times New Roman"/>
          <w:sz w:val="24"/>
          <w:szCs w:val="24"/>
        </w:rPr>
      </w:pPr>
      <w:r>
        <w:rPr>
          <w:rFonts w:ascii="Times New Roman" w:hAnsi="Times New Roman"/>
          <w:sz w:val="24"/>
          <w:szCs w:val="24"/>
        </w:rPr>
        <w:t>Al fine di enfatizzare l’attenzione sullo stato di salute finanziaria dell'Ente, con particolare riferimento dimensioni connesse all’ Equilibrio economico-finanziario, alle Entrate, al Patrimonio, ed all’Indebitamento, è stato creato un nuovo obiettivo operativo autonomo, ne</w:t>
      </w:r>
      <w:r w:rsidR="00505E02">
        <w:rPr>
          <w:rFonts w:ascii="Times New Roman" w:hAnsi="Times New Roman"/>
          <w:sz w:val="24"/>
          <w:szCs w:val="24"/>
        </w:rPr>
        <w:t>l</w:t>
      </w:r>
      <w:r>
        <w:rPr>
          <w:rFonts w:ascii="Times New Roman" w:hAnsi="Times New Roman"/>
          <w:sz w:val="24"/>
          <w:szCs w:val="24"/>
        </w:rPr>
        <w:t xml:space="preserve"> quale sono stati ricondotti 4 indicatori (</w:t>
      </w:r>
      <w:bookmarkStart w:id="91" w:name="OLE_LINK274"/>
      <w:bookmarkStart w:id="92" w:name="OLE_LINK275"/>
      <w:r>
        <w:rPr>
          <w:rFonts w:ascii="Times New Roman" w:hAnsi="Times New Roman"/>
          <w:sz w:val="24"/>
          <w:szCs w:val="24"/>
        </w:rPr>
        <w:t>I.1.2.1, I.1.2.</w:t>
      </w:r>
      <w:bookmarkEnd w:id="91"/>
      <w:bookmarkEnd w:id="92"/>
      <w:r>
        <w:rPr>
          <w:rFonts w:ascii="Times New Roman" w:hAnsi="Times New Roman"/>
          <w:sz w:val="24"/>
          <w:szCs w:val="24"/>
        </w:rPr>
        <w:t>2, I.1.2.3, I.1.2.4)</w:t>
      </w:r>
      <w:r w:rsidR="00171A75">
        <w:rPr>
          <w:rFonts w:ascii="Times New Roman" w:hAnsi="Times New Roman"/>
          <w:sz w:val="24"/>
          <w:szCs w:val="24"/>
        </w:rPr>
        <w:t>,</w:t>
      </w:r>
      <w:r w:rsidR="003656D6">
        <w:rPr>
          <w:rFonts w:ascii="Times New Roman" w:hAnsi="Times New Roman"/>
          <w:sz w:val="24"/>
          <w:szCs w:val="24"/>
        </w:rPr>
        <w:t xml:space="preserve"> </w:t>
      </w:r>
      <w:r>
        <w:rPr>
          <w:rFonts w:ascii="Times New Roman" w:hAnsi="Times New Roman"/>
          <w:sz w:val="24"/>
          <w:szCs w:val="24"/>
        </w:rPr>
        <w:t>mutuati dal Piano degli Indicatori e dei risultati attesi e introdotti nello scorso anno in recepimento di un’osservazione dell’OIV.</w:t>
      </w:r>
    </w:p>
    <w:p w:rsidR="00BA2C87" w:rsidRPr="00E63330" w:rsidRDefault="0096592E" w:rsidP="0015130B">
      <w:pPr>
        <w:jc w:val="both"/>
        <w:rPr>
          <w:rFonts w:ascii="Times New Roman" w:hAnsi="Times New Roman"/>
          <w:sz w:val="24"/>
          <w:szCs w:val="24"/>
        </w:rPr>
      </w:pPr>
      <w:r>
        <w:rPr>
          <w:rFonts w:ascii="Times New Roman" w:hAnsi="Times New Roman"/>
          <w:sz w:val="24"/>
          <w:szCs w:val="24"/>
        </w:rPr>
        <w:t xml:space="preserve">L’obiettivo operativo 1.3. (“Garantire un’adeguata attività di controllo”) è stato completamente rivisitato per dare evidenza degli sforzi condotti dall’Agenzia per migliorare la propria azione istituzionale e per concretizzare il Piano d’Azione </w:t>
      </w:r>
      <w:r w:rsidR="00171A75">
        <w:rPr>
          <w:rFonts w:ascii="Times New Roman" w:hAnsi="Times New Roman"/>
          <w:sz w:val="24"/>
          <w:szCs w:val="24"/>
        </w:rPr>
        <w:t xml:space="preserve">per la riduzione del tasso di errore </w:t>
      </w:r>
      <w:r>
        <w:rPr>
          <w:rFonts w:ascii="Times New Roman" w:hAnsi="Times New Roman"/>
          <w:sz w:val="24"/>
          <w:szCs w:val="24"/>
        </w:rPr>
        <w:t>concordato con le autorità nazionali e comunitarie con il fine di ridurre il tasso di errore.</w:t>
      </w:r>
    </w:p>
    <w:p w:rsidR="0029292C" w:rsidRPr="00E63330" w:rsidRDefault="0096592E" w:rsidP="0029292C">
      <w:pPr>
        <w:jc w:val="both"/>
        <w:rPr>
          <w:rFonts w:ascii="Times New Roman" w:hAnsi="Times New Roman"/>
          <w:sz w:val="24"/>
          <w:szCs w:val="24"/>
        </w:rPr>
      </w:pPr>
      <w:r>
        <w:rPr>
          <w:rFonts w:ascii="Times New Roman" w:hAnsi="Times New Roman"/>
          <w:sz w:val="24"/>
          <w:szCs w:val="24"/>
        </w:rPr>
        <w:t xml:space="preserve">In particolare il primo indicatore (I.1.3.1) si riferisce </w:t>
      </w:r>
      <w:r w:rsidR="00171A75">
        <w:rPr>
          <w:rFonts w:ascii="Times New Roman" w:hAnsi="Times New Roman"/>
          <w:sz w:val="24"/>
          <w:szCs w:val="24"/>
        </w:rPr>
        <w:t>alle contromisure</w:t>
      </w:r>
      <w:r>
        <w:rPr>
          <w:rFonts w:ascii="Times New Roman" w:hAnsi="Times New Roman"/>
          <w:sz w:val="24"/>
          <w:szCs w:val="24"/>
        </w:rPr>
        <w:t>, definit</w:t>
      </w:r>
      <w:r w:rsidR="00171A75">
        <w:rPr>
          <w:rFonts w:ascii="Times New Roman" w:hAnsi="Times New Roman"/>
          <w:sz w:val="24"/>
          <w:szCs w:val="24"/>
        </w:rPr>
        <w:t>e</w:t>
      </w:r>
      <w:r>
        <w:rPr>
          <w:rFonts w:ascii="Times New Roman" w:hAnsi="Times New Roman"/>
          <w:sz w:val="24"/>
          <w:szCs w:val="24"/>
        </w:rPr>
        <w:t xml:space="preserve"> in fase di audit, implementat</w:t>
      </w:r>
      <w:r w:rsidR="00171A75">
        <w:rPr>
          <w:rFonts w:ascii="Times New Roman" w:hAnsi="Times New Roman"/>
          <w:sz w:val="24"/>
          <w:szCs w:val="24"/>
        </w:rPr>
        <w:t>e</w:t>
      </w:r>
      <w:r>
        <w:rPr>
          <w:rFonts w:ascii="Times New Roman" w:hAnsi="Times New Roman"/>
          <w:sz w:val="24"/>
          <w:szCs w:val="24"/>
        </w:rPr>
        <w:t xml:space="preserve"> dalle Funzioni/OODD entro il termine indicato con il fine di porre rimedio a carenze o aree di poca efficienza emerse durante le verifiche. </w:t>
      </w:r>
    </w:p>
    <w:p w:rsidR="001378E6" w:rsidRDefault="0096592E">
      <w:pPr>
        <w:jc w:val="both"/>
        <w:rPr>
          <w:rFonts w:ascii="Times New Roman" w:hAnsi="Times New Roman"/>
          <w:sz w:val="24"/>
          <w:szCs w:val="24"/>
        </w:rPr>
      </w:pPr>
      <w:r>
        <w:rPr>
          <w:rFonts w:ascii="Times New Roman" w:hAnsi="Times New Roman"/>
          <w:sz w:val="24"/>
          <w:szCs w:val="24"/>
        </w:rPr>
        <w:t xml:space="preserve">Il secondo marcatore (I.1.3.2) misura, invece, gli incontri formativi/informativi con i CAA, l’ordine degli Agronomi e degli agrotecnici che da un lato permettono all’Agenzia di interloquire </w:t>
      </w:r>
      <w:r>
        <w:rPr>
          <w:rFonts w:ascii="Times New Roman" w:hAnsi="Times New Roman"/>
          <w:sz w:val="24"/>
          <w:szCs w:val="24"/>
        </w:rPr>
        <w:lastRenderedPageBreak/>
        <w:t xml:space="preserve">in maniera più incisiva </w:t>
      </w:r>
      <w:r w:rsidR="00171A75">
        <w:rPr>
          <w:rFonts w:ascii="Times New Roman" w:hAnsi="Times New Roman"/>
          <w:sz w:val="24"/>
          <w:szCs w:val="24"/>
        </w:rPr>
        <w:t xml:space="preserve">con </w:t>
      </w:r>
      <w:r>
        <w:rPr>
          <w:rFonts w:ascii="Times New Roman" w:hAnsi="Times New Roman"/>
          <w:sz w:val="24"/>
          <w:szCs w:val="24"/>
        </w:rPr>
        <w:t xml:space="preserve">i principali </w:t>
      </w:r>
      <w:proofErr w:type="spellStart"/>
      <w:r>
        <w:rPr>
          <w:rFonts w:ascii="Times New Roman" w:hAnsi="Times New Roman"/>
          <w:sz w:val="24"/>
          <w:szCs w:val="24"/>
        </w:rPr>
        <w:t>stakeholders</w:t>
      </w:r>
      <w:proofErr w:type="spellEnd"/>
      <w:r>
        <w:rPr>
          <w:rFonts w:ascii="Times New Roman" w:hAnsi="Times New Roman"/>
          <w:sz w:val="24"/>
          <w:szCs w:val="24"/>
        </w:rPr>
        <w:t xml:space="preserve"> e dall’altro fornisce </w:t>
      </w:r>
      <w:r w:rsidR="00171A75">
        <w:rPr>
          <w:rFonts w:ascii="Times New Roman" w:hAnsi="Times New Roman"/>
          <w:sz w:val="24"/>
          <w:szCs w:val="24"/>
        </w:rPr>
        <w:t>una ulteriore</w:t>
      </w:r>
      <w:r>
        <w:rPr>
          <w:rFonts w:ascii="Times New Roman" w:hAnsi="Times New Roman"/>
          <w:sz w:val="24"/>
          <w:szCs w:val="24"/>
        </w:rPr>
        <w:t xml:space="preserve"> possibilità di diffondere gli obiettivi dell’ARCEA anche in rapporto al ciclo delle performance, recependo in tal senso un suggerimento dell’OIV. </w:t>
      </w:r>
      <w:r w:rsidR="009C02C0">
        <w:rPr>
          <w:rFonts w:ascii="Times New Roman" w:hAnsi="Times New Roman"/>
          <w:sz w:val="24"/>
          <w:szCs w:val="24"/>
        </w:rPr>
        <w:t>Sarà, infatti, cura della Direzione dell’Agenzia condividere con gli interlocutori qualificati che prenderanno parti agli incontri i principi su cui si fonda la gestione delle performance in ARCEA, i risultati intermedi degli indicatori e rilevare il tasso di gradimento, in ogni caso misurato anche attraverso l’indicatore di impatto I1.1.</w:t>
      </w:r>
    </w:p>
    <w:p w:rsidR="001378E6" w:rsidRDefault="0096592E">
      <w:pPr>
        <w:jc w:val="both"/>
        <w:rPr>
          <w:rFonts w:ascii="Times New Roman" w:hAnsi="Times New Roman"/>
          <w:sz w:val="24"/>
          <w:szCs w:val="24"/>
        </w:rPr>
      </w:pPr>
      <w:r>
        <w:rPr>
          <w:rFonts w:ascii="Times New Roman" w:hAnsi="Times New Roman"/>
          <w:sz w:val="24"/>
          <w:szCs w:val="24"/>
        </w:rPr>
        <w:t xml:space="preserve">Gli ultimi due indicatori si riferiscono, infine alla Riduzione effettiva del </w:t>
      </w:r>
      <w:r w:rsidR="00505E02">
        <w:rPr>
          <w:rFonts w:ascii="Times New Roman" w:hAnsi="Times New Roman"/>
          <w:sz w:val="24"/>
          <w:szCs w:val="24"/>
        </w:rPr>
        <w:t>“</w:t>
      </w:r>
      <w:r>
        <w:rPr>
          <w:rFonts w:ascii="Times New Roman" w:hAnsi="Times New Roman"/>
          <w:sz w:val="24"/>
          <w:szCs w:val="24"/>
        </w:rPr>
        <w:t>tasso d’errore</w:t>
      </w:r>
      <w:r w:rsidR="00505E02">
        <w:rPr>
          <w:rFonts w:ascii="Times New Roman" w:hAnsi="Times New Roman"/>
          <w:sz w:val="24"/>
          <w:szCs w:val="24"/>
        </w:rPr>
        <w:t>”</w:t>
      </w:r>
      <w:r>
        <w:rPr>
          <w:rFonts w:ascii="Times New Roman" w:hAnsi="Times New Roman"/>
          <w:sz w:val="24"/>
          <w:szCs w:val="24"/>
        </w:rPr>
        <w:t xml:space="preserve"> presente nelle statistiche di controllo relative al FEASR SIGC (I.1.3.</w:t>
      </w:r>
      <w:r w:rsidR="00505E02">
        <w:rPr>
          <w:rFonts w:ascii="Times New Roman" w:hAnsi="Times New Roman"/>
          <w:sz w:val="24"/>
          <w:szCs w:val="24"/>
        </w:rPr>
        <w:t>3</w:t>
      </w:r>
      <w:r>
        <w:rPr>
          <w:rFonts w:ascii="Times New Roman" w:hAnsi="Times New Roman"/>
          <w:sz w:val="24"/>
          <w:szCs w:val="24"/>
        </w:rPr>
        <w:t xml:space="preserve">) e FEASR NON SIGC (I.1.3.4) </w:t>
      </w:r>
      <w:r w:rsidR="009C02C0">
        <w:rPr>
          <w:rFonts w:ascii="Times New Roman" w:hAnsi="Times New Roman"/>
          <w:sz w:val="24"/>
          <w:szCs w:val="24"/>
        </w:rPr>
        <w:t xml:space="preserve">e rappresentano, pertanto, un elemento caratterizzante dell’intero Piano 2019 – 2021. </w:t>
      </w:r>
    </w:p>
    <w:p w:rsidR="0029292C" w:rsidRPr="00E63330" w:rsidRDefault="0096592E" w:rsidP="0029292C">
      <w:pPr>
        <w:jc w:val="both"/>
        <w:rPr>
          <w:rFonts w:ascii="Times New Roman" w:hAnsi="Times New Roman"/>
          <w:sz w:val="24"/>
          <w:szCs w:val="24"/>
        </w:rPr>
      </w:pPr>
      <w:r>
        <w:rPr>
          <w:rFonts w:ascii="Times New Roman" w:hAnsi="Times New Roman"/>
          <w:sz w:val="24"/>
          <w:szCs w:val="24"/>
        </w:rPr>
        <w:t>La modalità di calcolo di tali indicatori</w:t>
      </w:r>
      <w:r w:rsidR="009C02C0">
        <w:rPr>
          <w:rFonts w:ascii="Times New Roman" w:hAnsi="Times New Roman"/>
          <w:sz w:val="24"/>
          <w:szCs w:val="24"/>
        </w:rPr>
        <w:t>, analogamente agli altri che presentano un operatore</w:t>
      </w:r>
      <w:r>
        <w:rPr>
          <w:rFonts w:ascii="Times New Roman" w:hAnsi="Times New Roman"/>
          <w:sz w:val="24"/>
          <w:szCs w:val="24"/>
        </w:rPr>
        <w:t xml:space="preserve"> </w:t>
      </w:r>
      <w:r w:rsidR="009C02C0">
        <w:rPr>
          <w:rFonts w:ascii="Times New Roman" w:hAnsi="Times New Roman"/>
          <w:sz w:val="24"/>
          <w:szCs w:val="24"/>
        </w:rPr>
        <w:t>del tipo “&lt;=”</w:t>
      </w:r>
      <w:r w:rsidR="00505E02">
        <w:rPr>
          <w:rFonts w:ascii="Times New Roman" w:hAnsi="Times New Roman"/>
          <w:sz w:val="24"/>
          <w:szCs w:val="24"/>
        </w:rPr>
        <w:t xml:space="preserve"> o “&lt;”</w:t>
      </w:r>
      <w:r w:rsidR="009C02C0">
        <w:rPr>
          <w:rFonts w:ascii="Times New Roman" w:hAnsi="Times New Roman"/>
          <w:sz w:val="24"/>
          <w:szCs w:val="24"/>
        </w:rPr>
        <w:t xml:space="preserve">, </w:t>
      </w:r>
      <w:r>
        <w:rPr>
          <w:rFonts w:ascii="Times New Roman" w:hAnsi="Times New Roman"/>
          <w:sz w:val="24"/>
          <w:szCs w:val="24"/>
        </w:rPr>
        <w:t xml:space="preserve">sarà la seguente: </w:t>
      </w:r>
    </w:p>
    <w:p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&lt;=</w:t>
      </w:r>
      <w:r w:rsidR="009C02C0">
        <w:rPr>
          <w:rFonts w:ascii="Times New Roman" w:hAnsi="Times New Roman"/>
          <w:sz w:val="24"/>
          <w:szCs w:val="24"/>
        </w:rPr>
        <w:t xml:space="preserve"> </w:t>
      </w:r>
      <w:r>
        <w:rPr>
          <w:rFonts w:ascii="Times New Roman" w:hAnsi="Times New Roman"/>
          <w:sz w:val="24"/>
          <w:szCs w:val="24"/>
        </w:rPr>
        <w:t xml:space="preserve">target il risultato sarà pari al 100% </w:t>
      </w:r>
    </w:p>
    <w:p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&gt;</w:t>
      </w:r>
      <w:r w:rsidR="009C02C0">
        <w:rPr>
          <w:rFonts w:ascii="Times New Roman" w:hAnsi="Times New Roman"/>
          <w:sz w:val="24"/>
          <w:szCs w:val="24"/>
        </w:rPr>
        <w:t xml:space="preserve"> </w:t>
      </w:r>
      <w:r>
        <w:rPr>
          <w:rFonts w:ascii="Times New Roman" w:hAnsi="Times New Roman"/>
          <w:sz w:val="24"/>
          <w:szCs w:val="24"/>
        </w:rPr>
        <w:t xml:space="preserve">target, il risultato sarà pari a: (100*(% </w:t>
      </w:r>
      <w:r w:rsidR="003C3367">
        <w:rPr>
          <w:rFonts w:ascii="Times New Roman" w:hAnsi="Times New Roman"/>
          <w:sz w:val="24"/>
          <w:szCs w:val="24"/>
        </w:rPr>
        <w:t>target</w:t>
      </w:r>
      <w:r>
        <w:rPr>
          <w:rFonts w:ascii="Times New Roman" w:hAnsi="Times New Roman"/>
          <w:sz w:val="24"/>
          <w:szCs w:val="24"/>
        </w:rPr>
        <w:t xml:space="preserve"> /</w:t>
      </w:r>
      <w:r w:rsidR="00171A75">
        <w:rPr>
          <w:rFonts w:ascii="Times New Roman" w:hAnsi="Times New Roman"/>
          <w:sz w:val="24"/>
          <w:szCs w:val="24"/>
        </w:rPr>
        <w:t xml:space="preserve"> </w:t>
      </w:r>
      <w:r w:rsidR="003C3367">
        <w:rPr>
          <w:rFonts w:ascii="Times New Roman" w:hAnsi="Times New Roman"/>
          <w:sz w:val="24"/>
          <w:szCs w:val="24"/>
        </w:rPr>
        <w:t>errore</w:t>
      </w:r>
      <w:r>
        <w:rPr>
          <w:rFonts w:ascii="Times New Roman" w:hAnsi="Times New Roman"/>
          <w:sz w:val="24"/>
          <w:szCs w:val="24"/>
        </w:rPr>
        <w:t>))</w:t>
      </w:r>
    </w:p>
    <w:p w:rsidR="0029292C" w:rsidRPr="00E63330" w:rsidRDefault="0096592E" w:rsidP="0029292C">
      <w:pPr>
        <w:jc w:val="both"/>
        <w:rPr>
          <w:rFonts w:ascii="Times New Roman" w:hAnsi="Times New Roman"/>
          <w:sz w:val="24"/>
          <w:szCs w:val="24"/>
        </w:rPr>
      </w:pPr>
      <w:r>
        <w:rPr>
          <w:rFonts w:ascii="Times New Roman" w:hAnsi="Times New Roman"/>
          <w:sz w:val="24"/>
          <w:szCs w:val="24"/>
        </w:rPr>
        <w:t>S</w:t>
      </w:r>
      <w:r w:rsidR="009C02C0">
        <w:rPr>
          <w:rFonts w:ascii="Times New Roman" w:hAnsi="Times New Roman"/>
          <w:sz w:val="24"/>
          <w:szCs w:val="24"/>
        </w:rPr>
        <w:t>i</w:t>
      </w:r>
      <w:r>
        <w:rPr>
          <w:rFonts w:ascii="Times New Roman" w:hAnsi="Times New Roman"/>
          <w:sz w:val="24"/>
          <w:szCs w:val="24"/>
        </w:rPr>
        <w:t xml:space="preserve"> precisa che</w:t>
      </w:r>
      <w:r w:rsidR="00505E02">
        <w:rPr>
          <w:rFonts w:ascii="Times New Roman" w:hAnsi="Times New Roman"/>
          <w:sz w:val="24"/>
          <w:szCs w:val="24"/>
        </w:rPr>
        <w:t>, a fronte di un</w:t>
      </w:r>
      <w:r w:rsidR="009D17C5">
        <w:rPr>
          <w:rFonts w:ascii="Times New Roman" w:hAnsi="Times New Roman"/>
          <w:sz w:val="24"/>
          <w:szCs w:val="24"/>
        </w:rPr>
        <w:t xml:space="preserve"> livello ideale pari al 2%,</w:t>
      </w:r>
      <w:r>
        <w:rPr>
          <w:rFonts w:ascii="Times New Roman" w:hAnsi="Times New Roman"/>
          <w:sz w:val="24"/>
          <w:szCs w:val="24"/>
        </w:rPr>
        <w:t xml:space="preserve"> il tasso d’errore per il FEASR SIGC</w:t>
      </w:r>
      <w:r w:rsidR="00505E02">
        <w:rPr>
          <w:rFonts w:ascii="Times New Roman" w:hAnsi="Times New Roman"/>
          <w:sz w:val="24"/>
          <w:szCs w:val="24"/>
        </w:rPr>
        <w:t xml:space="preserve"> per l’anno 2018</w:t>
      </w:r>
      <w:r>
        <w:rPr>
          <w:rFonts w:ascii="Times New Roman" w:hAnsi="Times New Roman"/>
          <w:sz w:val="24"/>
          <w:szCs w:val="24"/>
        </w:rPr>
        <w:t xml:space="preserve"> </w:t>
      </w:r>
      <w:r w:rsidR="00505E02">
        <w:rPr>
          <w:rFonts w:ascii="Times New Roman" w:hAnsi="Times New Roman"/>
          <w:sz w:val="24"/>
          <w:szCs w:val="24"/>
        </w:rPr>
        <w:t xml:space="preserve">è </w:t>
      </w:r>
      <w:r>
        <w:rPr>
          <w:rFonts w:ascii="Times New Roman" w:hAnsi="Times New Roman"/>
          <w:sz w:val="24"/>
          <w:szCs w:val="24"/>
        </w:rPr>
        <w:t>risulta</w:t>
      </w:r>
      <w:r w:rsidR="00505E02">
        <w:rPr>
          <w:rFonts w:ascii="Times New Roman" w:hAnsi="Times New Roman"/>
          <w:sz w:val="24"/>
          <w:szCs w:val="24"/>
        </w:rPr>
        <w:t>to</w:t>
      </w:r>
      <w:r>
        <w:rPr>
          <w:rFonts w:ascii="Times New Roman" w:hAnsi="Times New Roman"/>
          <w:sz w:val="24"/>
          <w:szCs w:val="24"/>
        </w:rPr>
        <w:t xml:space="preserve"> essere pari a 10,33%  mentre quello per FEASR non SIGC </w:t>
      </w:r>
      <w:r w:rsidR="00505E02">
        <w:rPr>
          <w:rFonts w:ascii="Times New Roman" w:hAnsi="Times New Roman"/>
          <w:sz w:val="24"/>
          <w:szCs w:val="24"/>
        </w:rPr>
        <w:t xml:space="preserve">è tato </w:t>
      </w:r>
      <w:r>
        <w:rPr>
          <w:rFonts w:ascii="Times New Roman" w:hAnsi="Times New Roman"/>
          <w:sz w:val="24"/>
          <w:szCs w:val="24"/>
        </w:rPr>
        <w:t>pari a 3,30%.</w:t>
      </w:r>
      <w:r w:rsidR="009D17C5">
        <w:rPr>
          <w:rFonts w:ascii="Times New Roman" w:hAnsi="Times New Roman"/>
          <w:sz w:val="24"/>
          <w:szCs w:val="24"/>
        </w:rPr>
        <w:t xml:space="preserve"> L’obiettivo a medio termine (ossia con un orizzonte temporale pluriennale) dell’Agenzia è quello di far scendere tale percentuale al di sotto della soglia indicata dalla Commissione Europea, che, come anticipato, è pari al 2%. </w:t>
      </w:r>
    </w:p>
    <w:p w:rsidR="00512FBD" w:rsidRPr="00E63330" w:rsidRDefault="0096592E" w:rsidP="001C2562">
      <w:pPr>
        <w:jc w:val="both"/>
        <w:rPr>
          <w:rFonts w:ascii="Times New Roman" w:hAnsi="Times New Roman"/>
          <w:sz w:val="24"/>
          <w:szCs w:val="24"/>
        </w:rPr>
      </w:pPr>
      <w:r>
        <w:rPr>
          <w:rFonts w:ascii="Times New Roman" w:hAnsi="Times New Roman"/>
          <w:sz w:val="24"/>
          <w:szCs w:val="24"/>
        </w:rPr>
        <w:t>Gli obiettivi operativi 1.5. (“Garantire una comunicazione efficace anche in rapporto alla trasparenza, all'integrità ed all'anticorruzione”) e 1.6. (“Garantire un’adeguata attività di monitoraggio anche in rapporto alla trasparenza ed all’integrità”)</w:t>
      </w:r>
      <w:r w:rsidR="009C02C0">
        <w:rPr>
          <w:rFonts w:ascii="Times New Roman" w:hAnsi="Times New Roman"/>
          <w:sz w:val="24"/>
          <w:szCs w:val="24"/>
        </w:rPr>
        <w:t xml:space="preserve"> </w:t>
      </w:r>
      <w:r>
        <w:rPr>
          <w:rFonts w:ascii="Times New Roman" w:hAnsi="Times New Roman"/>
          <w:sz w:val="24"/>
          <w:szCs w:val="24"/>
        </w:rPr>
        <w:t>sono stati totalmente rivisti</w:t>
      </w:r>
      <w:r w:rsidR="00171A75">
        <w:rPr>
          <w:rFonts w:ascii="Times New Roman" w:hAnsi="Times New Roman"/>
          <w:sz w:val="24"/>
          <w:szCs w:val="24"/>
        </w:rPr>
        <w:t>, a partire dal Piano 2017,</w:t>
      </w:r>
      <w:r>
        <w:rPr>
          <w:rFonts w:ascii="Times New Roman" w:hAnsi="Times New Roman"/>
          <w:sz w:val="24"/>
          <w:szCs w:val="24"/>
        </w:rPr>
        <w:t xml:space="preserve"> al fine di rafforzare ulteriormente il collegamento tra Piano delle Performance e PPCT.</w:t>
      </w:r>
    </w:p>
    <w:p w:rsidR="00512FBD" w:rsidRPr="00E63330" w:rsidRDefault="0096592E" w:rsidP="001C2562">
      <w:pPr>
        <w:jc w:val="both"/>
        <w:rPr>
          <w:rFonts w:ascii="Times New Roman" w:hAnsi="Times New Roman"/>
          <w:sz w:val="24"/>
          <w:szCs w:val="24"/>
        </w:rPr>
      </w:pPr>
      <w:r>
        <w:rPr>
          <w:rFonts w:ascii="Times New Roman" w:hAnsi="Times New Roman"/>
          <w:sz w:val="24"/>
          <w:szCs w:val="24"/>
        </w:rPr>
        <w:t xml:space="preserve">In particolare, i due obiettivi operativi sono interamente riconnessi agli obiettivi di prevenzione della corruzione ed a quelli strategici in materia di trasparenza da cui mutuano integralmente gli indicatori. </w:t>
      </w:r>
    </w:p>
    <w:p w:rsidR="00512FBD" w:rsidRPr="00E63330" w:rsidRDefault="0096592E" w:rsidP="001C2562">
      <w:pPr>
        <w:jc w:val="both"/>
        <w:rPr>
          <w:rFonts w:ascii="Times New Roman" w:hAnsi="Times New Roman"/>
          <w:sz w:val="24"/>
          <w:szCs w:val="24"/>
        </w:rPr>
      </w:pPr>
      <w:r>
        <w:rPr>
          <w:rFonts w:ascii="Times New Roman" w:hAnsi="Times New Roman"/>
          <w:sz w:val="24"/>
          <w:szCs w:val="24"/>
        </w:rPr>
        <w:t xml:space="preserve">In </w:t>
      </w:r>
      <w:r w:rsidR="009C02C0">
        <w:rPr>
          <w:rFonts w:ascii="Times New Roman" w:hAnsi="Times New Roman"/>
          <w:sz w:val="24"/>
          <w:szCs w:val="24"/>
        </w:rPr>
        <w:t>dettaglio</w:t>
      </w:r>
      <w:r>
        <w:rPr>
          <w:rFonts w:ascii="Times New Roman" w:hAnsi="Times New Roman"/>
          <w:sz w:val="24"/>
          <w:szCs w:val="24"/>
        </w:rPr>
        <w:t>,</w:t>
      </w:r>
      <w:r w:rsidR="009C02C0">
        <w:rPr>
          <w:rFonts w:ascii="Times New Roman" w:hAnsi="Times New Roman"/>
          <w:sz w:val="24"/>
          <w:szCs w:val="24"/>
        </w:rPr>
        <w:t xml:space="preserve"> </w:t>
      </w:r>
      <w:r>
        <w:rPr>
          <w:rFonts w:ascii="Times New Roman" w:hAnsi="Times New Roman"/>
          <w:sz w:val="24"/>
          <w:szCs w:val="24"/>
        </w:rPr>
        <w:t xml:space="preserve">l'indicatore I1.5.1 si riconnette alle ulteriori misure in materia di prevenzione della corruzione ed ai suoi indicatori, mentre l'indicatore I1.6.1è integrato con gli obiettivi strategici in materia di trasparenza in base ai cui indicatori è a sua volta misurato. </w:t>
      </w:r>
    </w:p>
    <w:p w:rsidR="001378E6" w:rsidRDefault="0096592E" w:rsidP="003C3367">
      <w:pPr>
        <w:jc w:val="both"/>
        <w:rPr>
          <w:rFonts w:ascii="Times New Roman" w:hAnsi="Times New Roman"/>
          <w:sz w:val="12"/>
          <w:szCs w:val="24"/>
        </w:rPr>
      </w:pPr>
      <w:r>
        <w:rPr>
          <w:rFonts w:ascii="Times New Roman" w:hAnsi="Times New Roman"/>
          <w:sz w:val="24"/>
          <w:szCs w:val="24"/>
        </w:rPr>
        <w:t xml:space="preserve">Rispetto al Piano 2018 è stato introdotto l’indicatore I1.5.2 che intende rafforzare i monitoraggi intermedi degli obiettivi e dei target prevedendo un’incidenza diretta tra il contributo fornito da ogni Struttura Dirigenziale (sotto forma di fornitura in tempo utile di documentazione e report) e la misurazione delle performance. </w:t>
      </w:r>
      <w:r w:rsidR="009C02C0">
        <w:rPr>
          <w:rFonts w:ascii="Times New Roman" w:hAnsi="Times New Roman"/>
          <w:sz w:val="24"/>
          <w:szCs w:val="24"/>
        </w:rPr>
        <w:t xml:space="preserve">Tale indicatore ha anche la funzione di rendere ancora più evidente lo sforzo profuso dall’ARCEA nel recepimento di un suggerimento dell’OIV, che ha chiesto all’Agenzia di proseguire nella pubblicazione dei report di monitoraggio intermedio. </w:t>
      </w:r>
    </w:p>
    <w:p w:rsidR="00D15E73"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Anche con riguardo all’obiettivo strategico n. 2 “Raggiungimento degli obiettivi di spesa previsti dai regolamenti comunitari di riferimento per i Fondi FEAGA e FEASR” gli indicatori individuati sono orientati alla verifica del conseguimento dei target connessi al “</w:t>
      </w:r>
      <w:r>
        <w:rPr>
          <w:rFonts w:ascii="Times New Roman" w:hAnsi="Times New Roman"/>
          <w:i/>
          <w:sz w:val="24"/>
          <w:szCs w:val="24"/>
        </w:rPr>
        <w:t>core business</w:t>
      </w:r>
      <w:r>
        <w:rPr>
          <w:rFonts w:ascii="Times New Roman" w:hAnsi="Times New Roman"/>
          <w:sz w:val="24"/>
          <w:szCs w:val="24"/>
        </w:rPr>
        <w:t>” dell’Agenzia.</w:t>
      </w:r>
    </w:p>
    <w:p w:rsidR="00452FDD" w:rsidRPr="00E63330" w:rsidRDefault="00452FDD" w:rsidP="005C7ECC">
      <w:pPr>
        <w:autoSpaceDE w:val="0"/>
        <w:autoSpaceDN w:val="0"/>
        <w:adjustRightInd w:val="0"/>
        <w:spacing w:after="0"/>
        <w:jc w:val="both"/>
        <w:rPr>
          <w:rFonts w:ascii="Times New Roman" w:hAnsi="Times New Roman"/>
          <w:sz w:val="10"/>
          <w:szCs w:val="24"/>
        </w:rPr>
      </w:pPr>
    </w:p>
    <w:p w:rsidR="00D35D2B"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 xml:space="preserve">In </w:t>
      </w:r>
      <w:r w:rsidR="009C02C0">
        <w:rPr>
          <w:rFonts w:ascii="Times New Roman" w:hAnsi="Times New Roman"/>
          <w:sz w:val="24"/>
          <w:szCs w:val="24"/>
        </w:rPr>
        <w:t>tale contesto</w:t>
      </w:r>
      <w:r>
        <w:rPr>
          <w:rFonts w:ascii="Times New Roman" w:hAnsi="Times New Roman"/>
          <w:sz w:val="24"/>
          <w:szCs w:val="24"/>
        </w:rPr>
        <w:t xml:space="preserve">, l’obiettivo </w:t>
      </w:r>
      <w:r w:rsidR="009D17C5">
        <w:rPr>
          <w:rFonts w:ascii="Times New Roman" w:hAnsi="Times New Roman"/>
          <w:sz w:val="24"/>
          <w:szCs w:val="24"/>
        </w:rPr>
        <w:t>operativo 2.1,</w:t>
      </w:r>
      <w:r>
        <w:rPr>
          <w:rFonts w:ascii="Times New Roman" w:hAnsi="Times New Roman"/>
          <w:sz w:val="24"/>
          <w:szCs w:val="24"/>
        </w:rPr>
        <w:t xml:space="preserve"> “Implementazione delle necessarie procedure tecnico-amministrative”, si riferisce alla capacità dell’Organismo Pagatore di adempiere adeguatamente alle prescrizioni normative di settore, le quali fissano le regole da seguire per la corretta definizione del complessivo </w:t>
      </w:r>
      <w:r>
        <w:rPr>
          <w:rFonts w:ascii="Times New Roman" w:hAnsi="Times New Roman"/>
          <w:i/>
          <w:sz w:val="24"/>
          <w:szCs w:val="24"/>
        </w:rPr>
        <w:t xml:space="preserve">iter </w:t>
      </w:r>
      <w:r>
        <w:rPr>
          <w:rFonts w:ascii="Times New Roman" w:hAnsi="Times New Roman"/>
          <w:sz w:val="24"/>
          <w:szCs w:val="24"/>
        </w:rPr>
        <w:t>di erogazione delle risorse.</w:t>
      </w:r>
    </w:p>
    <w:p w:rsidR="00F5218C" w:rsidRPr="00E63330" w:rsidRDefault="00F5218C" w:rsidP="00B140A2">
      <w:pPr>
        <w:autoSpaceDE w:val="0"/>
        <w:autoSpaceDN w:val="0"/>
        <w:adjustRightInd w:val="0"/>
        <w:spacing w:after="0"/>
        <w:jc w:val="both"/>
        <w:rPr>
          <w:rFonts w:ascii="Times New Roman" w:hAnsi="Times New Roman"/>
          <w:sz w:val="8"/>
          <w:szCs w:val="24"/>
        </w:rPr>
      </w:pPr>
    </w:p>
    <w:p w:rsidR="00B55C30" w:rsidRPr="00E63330" w:rsidRDefault="009C02C0" w:rsidP="00B140A2">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All’interno del </w:t>
      </w:r>
      <w:r w:rsidR="002E0E35">
        <w:rPr>
          <w:rFonts w:ascii="Times New Roman" w:hAnsi="Times New Roman"/>
          <w:sz w:val="24"/>
          <w:szCs w:val="24"/>
        </w:rPr>
        <w:t xml:space="preserve">predetto </w:t>
      </w:r>
      <w:r>
        <w:rPr>
          <w:rFonts w:ascii="Times New Roman" w:hAnsi="Times New Roman"/>
          <w:sz w:val="24"/>
          <w:szCs w:val="24"/>
        </w:rPr>
        <w:t xml:space="preserve">percorso di razionalizzazione degli indicatori, </w:t>
      </w:r>
      <w:r w:rsidR="0096592E">
        <w:rPr>
          <w:rFonts w:ascii="Times New Roman" w:hAnsi="Times New Roman"/>
          <w:sz w:val="24"/>
          <w:szCs w:val="24"/>
        </w:rPr>
        <w:t xml:space="preserve">sono stati definiti </w:t>
      </w:r>
      <w:r>
        <w:rPr>
          <w:rFonts w:ascii="Times New Roman" w:hAnsi="Times New Roman"/>
          <w:sz w:val="24"/>
          <w:szCs w:val="24"/>
        </w:rPr>
        <w:t>due</w:t>
      </w:r>
      <w:r w:rsidR="0096592E">
        <w:rPr>
          <w:rFonts w:ascii="Times New Roman" w:hAnsi="Times New Roman"/>
          <w:sz w:val="24"/>
          <w:szCs w:val="24"/>
        </w:rPr>
        <w:t xml:space="preserve"> </w:t>
      </w:r>
      <w:r>
        <w:rPr>
          <w:rFonts w:ascii="Times New Roman" w:hAnsi="Times New Roman"/>
          <w:sz w:val="24"/>
          <w:szCs w:val="24"/>
        </w:rPr>
        <w:t>soli marcatori ritenuti particolarmente</w:t>
      </w:r>
      <w:r w:rsidR="0096592E">
        <w:rPr>
          <w:rFonts w:ascii="Times New Roman" w:hAnsi="Times New Roman"/>
          <w:sz w:val="24"/>
          <w:szCs w:val="24"/>
        </w:rPr>
        <w:t xml:space="preserve"> sintomatic</w:t>
      </w:r>
      <w:r>
        <w:rPr>
          <w:rFonts w:ascii="Times New Roman" w:hAnsi="Times New Roman"/>
          <w:sz w:val="24"/>
          <w:szCs w:val="24"/>
        </w:rPr>
        <w:t>i</w:t>
      </w:r>
      <w:r w:rsidR="0096592E">
        <w:rPr>
          <w:rFonts w:ascii="Times New Roman" w:hAnsi="Times New Roman"/>
          <w:sz w:val="24"/>
          <w:szCs w:val="24"/>
        </w:rPr>
        <w:t xml:space="preserve"> della correttezza delle attività poste in essere. </w:t>
      </w:r>
    </w:p>
    <w:p w:rsidR="00597D3E" w:rsidRPr="00E63330" w:rsidRDefault="0096592E"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tal senso, particolare rilievo è stato dato al </w:t>
      </w:r>
      <w:r w:rsidR="009C02C0">
        <w:rPr>
          <w:rFonts w:ascii="Times New Roman" w:hAnsi="Times New Roman"/>
          <w:sz w:val="24"/>
          <w:szCs w:val="24"/>
        </w:rPr>
        <w:t>n</w:t>
      </w:r>
      <w:r>
        <w:rPr>
          <w:rFonts w:ascii="Times New Roman" w:hAnsi="Times New Roman"/>
          <w:sz w:val="24"/>
          <w:szCs w:val="24"/>
        </w:rPr>
        <w:t>umero di Circolari (I.2.1.1) e</w:t>
      </w:r>
      <w:r w:rsidR="009B7CE6">
        <w:rPr>
          <w:rFonts w:ascii="Times New Roman" w:hAnsi="Times New Roman"/>
          <w:sz w:val="24"/>
          <w:szCs w:val="24"/>
        </w:rPr>
        <w:t xml:space="preserve"> </w:t>
      </w:r>
      <w:r>
        <w:rPr>
          <w:rFonts w:ascii="Times New Roman" w:hAnsi="Times New Roman"/>
          <w:sz w:val="24"/>
          <w:szCs w:val="24"/>
        </w:rPr>
        <w:t>Manuali operativi adottati dalle Funzioni coinvolte (I.2.1.2)</w:t>
      </w:r>
      <w:r w:rsidR="009C02C0">
        <w:rPr>
          <w:rFonts w:ascii="Times New Roman" w:hAnsi="Times New Roman"/>
          <w:sz w:val="24"/>
          <w:szCs w:val="24"/>
        </w:rPr>
        <w:t>,</w:t>
      </w:r>
      <w:r>
        <w:rPr>
          <w:rFonts w:ascii="Times New Roman" w:hAnsi="Times New Roman"/>
          <w:sz w:val="24"/>
          <w:szCs w:val="24"/>
        </w:rPr>
        <w:t xml:space="preserve"> </w:t>
      </w:r>
      <w:r w:rsidR="009D17C5">
        <w:rPr>
          <w:rFonts w:ascii="Times New Roman" w:hAnsi="Times New Roman"/>
          <w:sz w:val="24"/>
          <w:szCs w:val="24"/>
        </w:rPr>
        <w:t>con l’obiettivo</w:t>
      </w:r>
      <w:r>
        <w:rPr>
          <w:rFonts w:ascii="Times New Roman" w:hAnsi="Times New Roman"/>
          <w:sz w:val="24"/>
          <w:szCs w:val="24"/>
        </w:rPr>
        <w:t xml:space="preserve"> di verificare concretamente se siano state </w:t>
      </w:r>
      <w:proofErr w:type="spellStart"/>
      <w:r w:rsidR="002E0E35">
        <w:rPr>
          <w:rFonts w:ascii="Times New Roman" w:hAnsi="Times New Roman"/>
          <w:sz w:val="24"/>
          <w:szCs w:val="24"/>
        </w:rPr>
        <w:t>foralizzate</w:t>
      </w:r>
      <w:proofErr w:type="spellEnd"/>
      <w:r w:rsidR="002E0E35">
        <w:rPr>
          <w:rFonts w:ascii="Times New Roman" w:hAnsi="Times New Roman"/>
          <w:sz w:val="24"/>
          <w:szCs w:val="24"/>
        </w:rPr>
        <w:t>, così come richiesto dalla normativa comunitaria,</w:t>
      </w:r>
      <w:r>
        <w:rPr>
          <w:rFonts w:ascii="Times New Roman" w:hAnsi="Times New Roman"/>
          <w:sz w:val="24"/>
          <w:szCs w:val="24"/>
        </w:rPr>
        <w:t xml:space="preserve"> le procedure sottese all’erogazione delle risorse.</w:t>
      </w:r>
    </w:p>
    <w:p w:rsidR="009B727D" w:rsidRPr="00E63330" w:rsidRDefault="0096592E"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 merito all’obiettivo strategico n. 3</w:t>
      </w:r>
      <w:r w:rsidR="009C02C0">
        <w:rPr>
          <w:rFonts w:ascii="Times New Roman" w:hAnsi="Times New Roman"/>
          <w:sz w:val="24"/>
          <w:szCs w:val="24"/>
        </w:rPr>
        <w:t xml:space="preserve">, </w:t>
      </w:r>
      <w:r>
        <w:rPr>
          <w:rFonts w:ascii="Times New Roman" w:hAnsi="Times New Roman"/>
          <w:sz w:val="24"/>
          <w:szCs w:val="24"/>
        </w:rPr>
        <w:t xml:space="preserve">si rileva come l'ARCEA sia chiamata a perseguire due tipologie di azioni, riferite agli obiettivi operativi 3.1 e 3.2. </w:t>
      </w:r>
    </w:p>
    <w:p w:rsidR="0003755C" w:rsidRPr="00E63330" w:rsidRDefault="0096592E" w:rsidP="00A2730F">
      <w:pPr>
        <w:pStyle w:val="Corpotesto"/>
        <w:jc w:val="both"/>
        <w:rPr>
          <w:rFonts w:ascii="Times New Roman" w:hAnsi="Times New Roman"/>
          <w:sz w:val="24"/>
          <w:szCs w:val="24"/>
        </w:rPr>
      </w:pPr>
      <w:r>
        <w:rPr>
          <w:rFonts w:ascii="Times New Roman" w:hAnsi="Times New Roman"/>
          <w:sz w:val="24"/>
          <w:szCs w:val="24"/>
        </w:rPr>
        <w:t xml:space="preserve">Per quanto riguarda l’obiettivo 3.1, l’ARCEA ha individuato, al termine di un’analisi dei propri processi, due aree prioritarie di intervento che possono essere sintetizzate nell’adesione al Sistema Pubblico di Identità Digitale </w:t>
      </w:r>
      <w:r w:rsidR="00A2730F">
        <w:rPr>
          <w:rFonts w:ascii="Times New Roman" w:hAnsi="Times New Roman"/>
          <w:sz w:val="24"/>
          <w:szCs w:val="24"/>
        </w:rPr>
        <w:t xml:space="preserve">(misurata attraverso un indicatore di impatto) </w:t>
      </w:r>
      <w:r>
        <w:rPr>
          <w:rFonts w:ascii="Times New Roman" w:hAnsi="Times New Roman"/>
          <w:sz w:val="24"/>
          <w:szCs w:val="24"/>
        </w:rPr>
        <w:t xml:space="preserve">e nell’introduzione di un nuovo sistema di protocollazione </w:t>
      </w:r>
      <w:r w:rsidR="00D90F50">
        <w:rPr>
          <w:rFonts w:ascii="Times New Roman" w:hAnsi="Times New Roman"/>
          <w:sz w:val="24"/>
          <w:szCs w:val="24"/>
        </w:rPr>
        <w:t>e/o</w:t>
      </w:r>
      <w:r>
        <w:rPr>
          <w:rFonts w:ascii="Times New Roman" w:hAnsi="Times New Roman"/>
          <w:sz w:val="24"/>
          <w:szCs w:val="24"/>
        </w:rPr>
        <w:t xml:space="preserve"> gestione documentale in grado soprattutto di migliorare il flusso operativo correlato ai documenti </w:t>
      </w:r>
      <w:proofErr w:type="spellStart"/>
      <w:r>
        <w:rPr>
          <w:rFonts w:ascii="Times New Roman" w:hAnsi="Times New Roman"/>
          <w:sz w:val="24"/>
          <w:szCs w:val="24"/>
        </w:rPr>
        <w:t>nativamente</w:t>
      </w:r>
      <w:proofErr w:type="spellEnd"/>
      <w:r>
        <w:rPr>
          <w:rFonts w:ascii="Times New Roman" w:hAnsi="Times New Roman"/>
          <w:sz w:val="24"/>
          <w:szCs w:val="24"/>
        </w:rPr>
        <w:t xml:space="preserve"> digitali, quali ad esempio quelli pervenuti via PEC o sottoscritti con firma elettronica</w:t>
      </w:r>
      <w:r w:rsidR="00A2730F">
        <w:rPr>
          <w:rFonts w:ascii="Times New Roman" w:hAnsi="Times New Roman"/>
          <w:sz w:val="24"/>
          <w:szCs w:val="24"/>
        </w:rPr>
        <w:t>, riconnessa al</w:t>
      </w:r>
      <w:r>
        <w:rPr>
          <w:rFonts w:ascii="Times New Roman" w:hAnsi="Times New Roman"/>
          <w:sz w:val="24"/>
          <w:szCs w:val="24"/>
        </w:rPr>
        <w:t xml:space="preserve">l’indicatore I.3.1.1. </w:t>
      </w:r>
    </w:p>
    <w:p w:rsidR="0029292C" w:rsidRPr="00E63330" w:rsidRDefault="0029292C" w:rsidP="00764D22">
      <w:pPr>
        <w:autoSpaceDE w:val="0"/>
        <w:autoSpaceDN w:val="0"/>
        <w:adjustRightInd w:val="0"/>
        <w:spacing w:after="0"/>
        <w:jc w:val="both"/>
        <w:rPr>
          <w:rFonts w:ascii="Times New Roman" w:hAnsi="Times New Roman"/>
          <w:sz w:val="24"/>
          <w:szCs w:val="24"/>
        </w:rPr>
      </w:pPr>
    </w:p>
    <w:p w:rsidR="0003755C" w:rsidRPr="00E63330" w:rsidRDefault="0096592E" w:rsidP="0003755C">
      <w:pPr>
        <w:jc w:val="both"/>
        <w:rPr>
          <w:rFonts w:ascii="Times New Roman" w:hAnsi="Times New Roman"/>
          <w:sz w:val="24"/>
          <w:szCs w:val="24"/>
        </w:rPr>
      </w:pPr>
      <w:r>
        <w:rPr>
          <w:rFonts w:ascii="Times New Roman" w:hAnsi="Times New Roman"/>
          <w:sz w:val="24"/>
          <w:szCs w:val="24"/>
        </w:rPr>
        <w:t>Con riferimento all’obiettivo operativo 3.2. (“Garantire un adeguato livello di sicurezza delle informazioni”), l’indicatore prescelto (I.3.2.1) rimanda alla capacità dell’ARCEA di soddisfare i criteri di riconoscimento prescritti dal Reg. (UE) n. 907/2014, con specifica attenzione alla gestione della sicurezza del proprio sistema informativo che si pone alla base di tutti i processi lavorativi attuati nell’Agenzia. In tale ottica, pertanto, assume rilevanza essenziale il grado di maturità attribuito in merito dall’Organismo di Certificazione in sede di visita ispettiva annuale, che deve essere in linea con quanto richiesto dalla Commissione Europea.</w:t>
      </w:r>
    </w:p>
    <w:p w:rsidR="0080079E" w:rsidRPr="00A2730F" w:rsidRDefault="00A2730F" w:rsidP="00193A7A">
      <w:pPr>
        <w:jc w:val="both"/>
        <w:rPr>
          <w:rFonts w:ascii="Times New Roman" w:hAnsi="Times New Roman"/>
          <w:sz w:val="24"/>
          <w:szCs w:val="24"/>
        </w:rPr>
      </w:pPr>
      <w:r w:rsidRPr="00A2730F">
        <w:rPr>
          <w:rFonts w:ascii="Times New Roman" w:hAnsi="Times New Roman"/>
          <w:sz w:val="24"/>
          <w:szCs w:val="24"/>
        </w:rPr>
        <w:t>Con l’obiettivo di migliorare ulteriormente il grado di intellegibilità del Piano, infine, r</w:t>
      </w:r>
      <w:r w:rsidR="0080079E" w:rsidRPr="00A2730F">
        <w:rPr>
          <w:rFonts w:ascii="Times New Roman" w:hAnsi="Times New Roman"/>
          <w:sz w:val="24"/>
          <w:szCs w:val="24"/>
        </w:rPr>
        <w:t>ispetto a</w:t>
      </w:r>
      <w:r w:rsidRPr="00A2730F">
        <w:rPr>
          <w:rFonts w:ascii="Times New Roman" w:hAnsi="Times New Roman"/>
          <w:sz w:val="24"/>
          <w:szCs w:val="24"/>
        </w:rPr>
        <w:t>i</w:t>
      </w:r>
      <w:r w:rsidR="0080079E" w:rsidRPr="00A2730F">
        <w:rPr>
          <w:rFonts w:ascii="Times New Roman" w:hAnsi="Times New Roman"/>
          <w:sz w:val="24"/>
          <w:szCs w:val="24"/>
        </w:rPr>
        <w:t xml:space="preserve"> precedenti </w:t>
      </w:r>
      <w:r w:rsidRPr="00A2730F">
        <w:rPr>
          <w:rFonts w:ascii="Times New Roman" w:hAnsi="Times New Roman"/>
          <w:sz w:val="24"/>
          <w:szCs w:val="24"/>
        </w:rPr>
        <w:t>documento</w:t>
      </w:r>
      <w:r w:rsidR="0080079E" w:rsidRPr="00A2730F">
        <w:rPr>
          <w:rFonts w:ascii="Times New Roman" w:hAnsi="Times New Roman"/>
          <w:sz w:val="24"/>
          <w:szCs w:val="24"/>
        </w:rPr>
        <w:t>,</w:t>
      </w:r>
      <w:r w:rsidRPr="00A2730F">
        <w:rPr>
          <w:rFonts w:ascii="Times New Roman" w:hAnsi="Times New Roman"/>
          <w:sz w:val="24"/>
          <w:szCs w:val="24"/>
        </w:rPr>
        <w:t xml:space="preserve"> </w:t>
      </w:r>
      <w:r w:rsidR="0080079E" w:rsidRPr="00A2730F">
        <w:rPr>
          <w:rFonts w:ascii="Times New Roman" w:hAnsi="Times New Roman"/>
          <w:sz w:val="24"/>
          <w:szCs w:val="24"/>
        </w:rPr>
        <w:t xml:space="preserve"> è stata prevista una tabella di dettaglio riportante i valori iniziali di tutti gli indicatori di impatto ed operativi. </w:t>
      </w:r>
      <w:r>
        <w:rPr>
          <w:rFonts w:ascii="Times New Roman" w:hAnsi="Times New Roman"/>
          <w:sz w:val="24"/>
          <w:szCs w:val="24"/>
        </w:rPr>
        <w:t xml:space="preserve">Come si potrà dedurre dalla lettura dei dati quantitativi, tutti gli indicatori operativi e due indicatori di impatto su quattro presentano un valore iniziale pari a zero. </w:t>
      </w:r>
    </w:p>
    <w:p w:rsidR="00193A7A" w:rsidRPr="00A2730F" w:rsidRDefault="0080079E" w:rsidP="0080079E">
      <w:pPr>
        <w:jc w:val="both"/>
        <w:rPr>
          <w:rFonts w:ascii="Times New Roman" w:hAnsi="Times New Roman"/>
          <w:sz w:val="24"/>
          <w:szCs w:val="24"/>
        </w:rPr>
      </w:pPr>
      <w:r w:rsidRPr="00A2730F">
        <w:rPr>
          <w:rFonts w:ascii="Times New Roman" w:hAnsi="Times New Roman"/>
          <w:sz w:val="24"/>
          <w:szCs w:val="24"/>
        </w:rPr>
        <w:t xml:space="preserve">Per quanto concerne le risultanze delle precedenti misurazioni, in considerazione dell’inserimento di numerosi nuovi indicatori, per il quali non sono naturalmente presenti risultati </w:t>
      </w:r>
      <w:r w:rsidR="00BA4082">
        <w:rPr>
          <w:rFonts w:ascii="Times New Roman" w:hAnsi="Times New Roman"/>
          <w:sz w:val="24"/>
          <w:szCs w:val="24"/>
        </w:rPr>
        <w:t xml:space="preserve">anteriori </w:t>
      </w:r>
      <w:r w:rsidRPr="00A2730F">
        <w:rPr>
          <w:rFonts w:ascii="Times New Roman" w:hAnsi="Times New Roman"/>
          <w:sz w:val="24"/>
          <w:szCs w:val="24"/>
        </w:rPr>
        <w:t xml:space="preserve">connessi alla gestione del ciclo delle performance, è stata introdotta una ulteriore tabella che riporta il valore dell’ultima rilevazione, ottenuta attraverso i sistemi </w:t>
      </w:r>
      <w:r w:rsidR="00BA4082">
        <w:rPr>
          <w:rFonts w:ascii="Times New Roman" w:hAnsi="Times New Roman"/>
          <w:sz w:val="24"/>
          <w:szCs w:val="24"/>
        </w:rPr>
        <w:t>in uso presso l’</w:t>
      </w:r>
      <w:r w:rsidRPr="00A2730F">
        <w:rPr>
          <w:rFonts w:ascii="Times New Roman" w:hAnsi="Times New Roman"/>
          <w:sz w:val="24"/>
          <w:szCs w:val="24"/>
        </w:rPr>
        <w:t xml:space="preserve">Agenzia, associata all’anno </w:t>
      </w:r>
      <w:r w:rsidR="00BA4082">
        <w:rPr>
          <w:rFonts w:ascii="Times New Roman" w:hAnsi="Times New Roman"/>
          <w:sz w:val="24"/>
          <w:szCs w:val="24"/>
        </w:rPr>
        <w:t>in cui è stata effettuata</w:t>
      </w:r>
      <w:r w:rsidRPr="00A2730F">
        <w:rPr>
          <w:rFonts w:ascii="Times New Roman" w:hAnsi="Times New Roman"/>
          <w:sz w:val="24"/>
          <w:szCs w:val="24"/>
        </w:rPr>
        <w:t xml:space="preserve">.  </w:t>
      </w:r>
    </w:p>
    <w:bookmarkEnd w:id="89"/>
    <w:bookmarkEnd w:id="90"/>
    <w:p w:rsidR="00920420" w:rsidRPr="00E63330" w:rsidRDefault="00920420" w:rsidP="005C7ECC">
      <w:pPr>
        <w:autoSpaceDE w:val="0"/>
        <w:autoSpaceDN w:val="0"/>
        <w:adjustRightInd w:val="0"/>
        <w:spacing w:after="0"/>
        <w:jc w:val="both"/>
        <w:rPr>
          <w:rFonts w:ascii="Times New Roman" w:hAnsi="Times New Roman"/>
          <w:i/>
          <w:sz w:val="2"/>
          <w:szCs w:val="24"/>
          <w:u w:val="single"/>
        </w:rPr>
      </w:pPr>
    </w:p>
    <w:p w:rsidR="00FB31A0" w:rsidRPr="00E63330" w:rsidRDefault="0096592E" w:rsidP="002F58B2">
      <w:pPr>
        <w:pStyle w:val="Titolo1"/>
      </w:pPr>
      <w:bookmarkStart w:id="93" w:name="_Toc1046961"/>
      <w:r w:rsidRPr="003C3367">
        <w:t>La scelta dei target</w:t>
      </w:r>
      <w:bookmarkEnd w:id="93"/>
    </w:p>
    <w:p w:rsidR="00FB31A0" w:rsidRPr="00E63330" w:rsidRDefault="00FB31A0" w:rsidP="005C7ECC">
      <w:pPr>
        <w:autoSpaceDE w:val="0"/>
        <w:autoSpaceDN w:val="0"/>
        <w:adjustRightInd w:val="0"/>
        <w:spacing w:after="0"/>
        <w:jc w:val="both"/>
        <w:rPr>
          <w:rFonts w:ascii="Times New Roman" w:hAnsi="Times New Roman"/>
          <w:i/>
          <w:sz w:val="24"/>
          <w:szCs w:val="24"/>
          <w:u w:val="single"/>
        </w:rPr>
      </w:pPr>
    </w:p>
    <w:p w:rsidR="00FB31A0" w:rsidRPr="00E63330" w:rsidRDefault="0096592E" w:rsidP="00FB31A0">
      <w:pPr>
        <w:jc w:val="both"/>
        <w:rPr>
          <w:rFonts w:ascii="Times New Roman" w:hAnsi="Times New Roman"/>
          <w:sz w:val="24"/>
          <w:szCs w:val="24"/>
        </w:rPr>
      </w:pPr>
      <w:r>
        <w:rPr>
          <w:rFonts w:ascii="Times New Roman" w:hAnsi="Times New Roman"/>
          <w:sz w:val="24"/>
          <w:szCs w:val="24"/>
        </w:rPr>
        <w:t>I target di riferimento sono stati quantificati sulla base dell’importanza dell’indicatore che rappresenta, a sua volta, l’effetto finale dell’azione gestionale intrapresa, con particolare riferimento alla rilevanza esterna, dei bisogni degli “</w:t>
      </w:r>
      <w:proofErr w:type="spellStart"/>
      <w:r>
        <w:rPr>
          <w:rFonts w:ascii="Times New Roman" w:hAnsi="Times New Roman"/>
          <w:i/>
          <w:sz w:val="24"/>
          <w:szCs w:val="24"/>
        </w:rPr>
        <w:t>Stakeholders</w:t>
      </w:r>
      <w:proofErr w:type="spellEnd"/>
      <w:r>
        <w:rPr>
          <w:rFonts w:ascii="Times New Roman" w:hAnsi="Times New Roman"/>
          <w:sz w:val="24"/>
          <w:szCs w:val="24"/>
        </w:rPr>
        <w:t>” e dell’analisi storica dei dati quantitativi raccolti negli anni precedenti attraverso le medesime fonti con cui vengono misurati anche nell’orizzonte temporale di riferimento del presente Piano.</w:t>
      </w:r>
    </w:p>
    <w:p w:rsidR="00470614" w:rsidRPr="00E63330" w:rsidRDefault="0096592E" w:rsidP="00FB31A0">
      <w:pPr>
        <w:jc w:val="both"/>
        <w:rPr>
          <w:rFonts w:ascii="Times New Roman" w:hAnsi="Times New Roman"/>
          <w:sz w:val="24"/>
          <w:szCs w:val="24"/>
        </w:rPr>
      </w:pPr>
      <w:r>
        <w:rPr>
          <w:rFonts w:ascii="Times New Roman" w:hAnsi="Times New Roman"/>
          <w:sz w:val="24"/>
          <w:szCs w:val="24"/>
        </w:rPr>
        <w:lastRenderedPageBreak/>
        <w:t>È stato inoltre inserito un quadro sinottico che riporta il processo di analisi dei target volto a garantire un costante allineamento dei risultati attesi rispetto alle attività poste in essere dall’Agenzia, al fine di ottenere sempre obiettivi sfidanti ed in grado di condurre l’ARCEA verso un continuo miglioramento.</w:t>
      </w:r>
    </w:p>
    <w:p w:rsidR="00D75664"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I valori attribuiti ai target ed i relativi elementi di dettaglio sono rappresentati nella colonna “Indicatori/Target/Fonti” della Tabella “</w:t>
      </w:r>
      <w:r>
        <w:rPr>
          <w:rFonts w:ascii="Times New Roman" w:hAnsi="Times New Roman"/>
          <w:i/>
          <w:sz w:val="24"/>
          <w:szCs w:val="24"/>
        </w:rPr>
        <w:t>Quadro sinottico degli Obiettivi, Indicatori, Target ed Ambiti di Performance</w:t>
      </w:r>
      <w:r>
        <w:rPr>
          <w:rFonts w:ascii="Times New Roman" w:hAnsi="Times New Roman"/>
          <w:sz w:val="24"/>
          <w:szCs w:val="24"/>
        </w:rPr>
        <w:t>”.</w:t>
      </w:r>
    </w:p>
    <w:p w:rsidR="00052A9A" w:rsidRPr="00E63330" w:rsidRDefault="00052A9A" w:rsidP="00D75664">
      <w:pPr>
        <w:autoSpaceDE w:val="0"/>
        <w:autoSpaceDN w:val="0"/>
        <w:adjustRightInd w:val="0"/>
        <w:spacing w:after="0"/>
        <w:jc w:val="both"/>
        <w:rPr>
          <w:rFonts w:ascii="Times New Roman" w:hAnsi="Times New Roman"/>
          <w:sz w:val="24"/>
          <w:szCs w:val="24"/>
        </w:rPr>
      </w:pPr>
    </w:p>
    <w:p w:rsidR="00EA457D"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recepimento di un’osservazione dell’OIV, inoltre, sono stati individuati per ogni indicatore anche dei Target intermedi, la cui data di riferimento è il 30 Giugno. </w:t>
      </w:r>
    </w:p>
    <w:p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Tale previsione ha l’obiettivo di consentire una corretta valutazione di eventuali scostamenti tra le risultanze </w:t>
      </w:r>
      <w:proofErr w:type="spellStart"/>
      <w:r w:rsidRPr="006C5DF3">
        <w:rPr>
          <w:rFonts w:ascii="Times New Roman" w:hAnsi="Times New Roman"/>
          <w:sz w:val="24"/>
        </w:rPr>
        <w:t>infrannuali</w:t>
      </w:r>
      <w:proofErr w:type="spellEnd"/>
      <w:r w:rsidRPr="006C5DF3">
        <w:rPr>
          <w:rFonts w:ascii="Times New Roman" w:hAnsi="Times New Roman"/>
          <w:sz w:val="24"/>
        </w:rPr>
        <w:t xml:space="preserve"> degli indicatori stessi e quanto previsto</w:t>
      </w:r>
      <w:r w:rsidRPr="00602596">
        <w:rPr>
          <w:rFonts w:ascii="Times New Roman" w:hAnsi="Times New Roman"/>
          <w:sz w:val="24"/>
        </w:rPr>
        <w:t xml:space="preserve"> nel Piano.</w:t>
      </w:r>
    </w:p>
    <w:p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Al fine di semplificare la lettura del Piano e le attività di monitoraggio, ad ogni indicatore è stato associato un codice identificativo univoco, il cui formalismo è legato all’obiettivo di riferimento (ad esempio, con riferimento agli indica</w:t>
      </w:r>
      <w:r w:rsidRPr="00602596">
        <w:rPr>
          <w:rFonts w:ascii="Times New Roman" w:hAnsi="Times New Roman"/>
          <w:sz w:val="24"/>
        </w:rPr>
        <w:t xml:space="preserve">tori di impatto, l’indicatore associato all’Obiettivo Strategico 1 avrà il codice II1.1 mentre gli indicatori dell’Obiettivo Operativo 1.1 saranno contrassegnati dalla famiglia di codici I1.1.X) ed è stata altresì inserita nel Piano una tabella sinottica riportante per ogni obiettivo la fonte di riferimento, il target al 30 Giugno e quello al 31 Dicembre. </w:t>
      </w:r>
    </w:p>
    <w:p w:rsidR="00411332"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Come predetto, tutti i target sono stati rivisti al fine di garantire un allineamento rispetto alle reali attività ed esigenze dell’ARCEA e per render</w:t>
      </w:r>
      <w:r w:rsidR="002E0E35">
        <w:rPr>
          <w:rFonts w:ascii="Times New Roman" w:hAnsi="Times New Roman"/>
          <w:sz w:val="24"/>
          <w:szCs w:val="24"/>
        </w:rPr>
        <w:t>li</w:t>
      </w:r>
      <w:r>
        <w:rPr>
          <w:rFonts w:ascii="Times New Roman" w:hAnsi="Times New Roman"/>
          <w:sz w:val="24"/>
          <w:szCs w:val="24"/>
        </w:rPr>
        <w:t xml:space="preserve"> sempre sfidanti e volti ad apportare un sensibile miglioramento delle attività gli obiettivi del presente Piano. </w:t>
      </w:r>
    </w:p>
    <w:p w:rsidR="002E0E35" w:rsidRDefault="002E0E35"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E’ stata, inoltre, effettuata un’analisi comparativa con le misurazioni rilevate sia all’interno dei precedenti cicli delle Performance (con particolare riferimento all’ultimo monitoraggio intermedio, che rappresenta l’ultimo momento di misurazione “definitiva”) sia, per gli indicatori di nuova istituzione, attraverso strumenti utilizzati, a vario titolo, dall’Agenzia per il perseguimento dei propri obiettivi istituzionali.  </w:t>
      </w:r>
    </w:p>
    <w:p w:rsidR="002E0E35" w:rsidRPr="00E63330" w:rsidRDefault="002E0E35" w:rsidP="00D75664">
      <w:pPr>
        <w:autoSpaceDE w:val="0"/>
        <w:autoSpaceDN w:val="0"/>
        <w:adjustRightInd w:val="0"/>
        <w:spacing w:after="0"/>
        <w:jc w:val="both"/>
        <w:rPr>
          <w:rFonts w:ascii="Times New Roman" w:hAnsi="Times New Roman"/>
          <w:sz w:val="24"/>
          <w:szCs w:val="24"/>
        </w:rPr>
      </w:pPr>
    </w:p>
    <w:p w:rsidR="00411332"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Le scelte sono dettagliate</w:t>
      </w:r>
      <w:r w:rsidR="00BA4082">
        <w:rPr>
          <w:rFonts w:ascii="Times New Roman" w:hAnsi="Times New Roman"/>
          <w:sz w:val="24"/>
          <w:szCs w:val="24"/>
        </w:rPr>
        <w:t>, come anticipato in precedenza,</w:t>
      </w:r>
      <w:r>
        <w:rPr>
          <w:rFonts w:ascii="Times New Roman" w:hAnsi="Times New Roman"/>
          <w:sz w:val="24"/>
          <w:szCs w:val="24"/>
        </w:rPr>
        <w:t xml:space="preserve"> all’interno di </w:t>
      </w:r>
      <w:r w:rsidR="00BA4082">
        <w:rPr>
          <w:rFonts w:ascii="Times New Roman" w:hAnsi="Times New Roman"/>
          <w:sz w:val="24"/>
          <w:szCs w:val="24"/>
        </w:rPr>
        <w:t>appositi</w:t>
      </w:r>
      <w:r>
        <w:rPr>
          <w:rFonts w:ascii="Times New Roman" w:hAnsi="Times New Roman"/>
          <w:sz w:val="24"/>
          <w:szCs w:val="24"/>
        </w:rPr>
        <w:t xml:space="preserve"> quadr</w:t>
      </w:r>
      <w:r w:rsidR="00BA4082">
        <w:rPr>
          <w:rFonts w:ascii="Times New Roman" w:hAnsi="Times New Roman"/>
          <w:sz w:val="24"/>
          <w:szCs w:val="24"/>
        </w:rPr>
        <w:t>i</w:t>
      </w:r>
      <w:r>
        <w:rPr>
          <w:rFonts w:ascii="Times New Roman" w:hAnsi="Times New Roman"/>
          <w:sz w:val="24"/>
          <w:szCs w:val="24"/>
        </w:rPr>
        <w:t xml:space="preserve"> sinottico riportat</w:t>
      </w:r>
      <w:r w:rsidR="00BA4082">
        <w:rPr>
          <w:rFonts w:ascii="Times New Roman" w:hAnsi="Times New Roman"/>
          <w:sz w:val="24"/>
          <w:szCs w:val="24"/>
        </w:rPr>
        <w:t>i</w:t>
      </w:r>
      <w:r>
        <w:rPr>
          <w:rFonts w:ascii="Times New Roman" w:hAnsi="Times New Roman"/>
          <w:sz w:val="24"/>
          <w:szCs w:val="24"/>
        </w:rPr>
        <w:t xml:space="preserve"> tra le tabelle di sintesi. </w:t>
      </w:r>
    </w:p>
    <w:p w:rsidR="003C2329" w:rsidRPr="00E63330" w:rsidRDefault="003C2329" w:rsidP="00D75664">
      <w:pPr>
        <w:autoSpaceDE w:val="0"/>
        <w:autoSpaceDN w:val="0"/>
        <w:adjustRightInd w:val="0"/>
        <w:spacing w:after="0"/>
        <w:jc w:val="both"/>
        <w:rPr>
          <w:rFonts w:ascii="Times New Roman" w:hAnsi="Times New Roman"/>
          <w:i/>
          <w:sz w:val="8"/>
          <w:szCs w:val="24"/>
          <w:u w:val="single"/>
        </w:rPr>
      </w:pPr>
    </w:p>
    <w:p w:rsidR="00D75664" w:rsidRDefault="00D75664" w:rsidP="00D75664">
      <w:pPr>
        <w:autoSpaceDE w:val="0"/>
        <w:autoSpaceDN w:val="0"/>
        <w:adjustRightInd w:val="0"/>
        <w:spacing w:after="0"/>
        <w:jc w:val="both"/>
        <w:rPr>
          <w:rFonts w:ascii="Times New Roman" w:hAnsi="Times New Roman"/>
          <w:sz w:val="12"/>
          <w:szCs w:val="24"/>
        </w:rPr>
      </w:pPr>
    </w:p>
    <w:p w:rsidR="005E7A71" w:rsidRPr="00E63330" w:rsidRDefault="005E7A71" w:rsidP="00D75664">
      <w:pPr>
        <w:autoSpaceDE w:val="0"/>
        <w:autoSpaceDN w:val="0"/>
        <w:adjustRightInd w:val="0"/>
        <w:spacing w:after="0"/>
        <w:jc w:val="both"/>
        <w:rPr>
          <w:rFonts w:ascii="Times New Roman" w:hAnsi="Times New Roman"/>
          <w:sz w:val="12"/>
          <w:szCs w:val="24"/>
        </w:rPr>
      </w:pPr>
    </w:p>
    <w:p w:rsidR="00FB31A0" w:rsidRPr="00E63330" w:rsidRDefault="0096592E" w:rsidP="002F58B2">
      <w:pPr>
        <w:pStyle w:val="Titolo1"/>
      </w:pPr>
      <w:bookmarkStart w:id="94" w:name="_Toc1046962"/>
      <w:r w:rsidRPr="003C3367">
        <w:t>Tabelle di sintesi</w:t>
      </w:r>
      <w:bookmarkEnd w:id="94"/>
    </w:p>
    <w:p w:rsidR="00FB31A0" w:rsidRPr="00E63330" w:rsidRDefault="00FB31A0" w:rsidP="005C7ECC">
      <w:pPr>
        <w:autoSpaceDE w:val="0"/>
        <w:autoSpaceDN w:val="0"/>
        <w:adjustRightInd w:val="0"/>
        <w:spacing w:after="0"/>
        <w:jc w:val="both"/>
        <w:rPr>
          <w:rFonts w:ascii="Times New Roman" w:hAnsi="Times New Roman"/>
          <w:sz w:val="24"/>
          <w:szCs w:val="24"/>
        </w:rPr>
      </w:pPr>
    </w:p>
    <w:p w:rsidR="00584C9D" w:rsidRPr="00E63330" w:rsidRDefault="0096592E" w:rsidP="005C7ECC">
      <w:pPr>
        <w:autoSpaceDE w:val="0"/>
        <w:autoSpaceDN w:val="0"/>
        <w:adjustRightInd w:val="0"/>
        <w:spacing w:after="0"/>
        <w:jc w:val="both"/>
        <w:rPr>
          <w:rFonts w:ascii="Times New Roman" w:hAnsi="Times New Roman"/>
          <w:i/>
          <w:sz w:val="24"/>
          <w:szCs w:val="24"/>
          <w:u w:val="single"/>
        </w:rPr>
      </w:pPr>
      <w:r>
        <w:rPr>
          <w:rFonts w:ascii="Times New Roman" w:hAnsi="Times New Roman"/>
          <w:i/>
          <w:sz w:val="24"/>
          <w:szCs w:val="24"/>
          <w:u w:val="single"/>
        </w:rPr>
        <w:t>Quadro sinottico degli Obiettivi strategici/Indicatori di impatto</w:t>
      </w:r>
    </w:p>
    <w:p w:rsidR="00584C9D" w:rsidRPr="00E63330" w:rsidRDefault="00584C9D" w:rsidP="005C7ECC">
      <w:pPr>
        <w:autoSpaceDE w:val="0"/>
        <w:autoSpaceDN w:val="0"/>
        <w:adjustRightInd w:val="0"/>
        <w:spacing w:after="0"/>
        <w:jc w:val="both"/>
        <w:rPr>
          <w:rFonts w:ascii="Times New Roman" w:hAnsi="Times New Roman"/>
          <w:sz w:val="24"/>
          <w:szCs w:val="2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2"/>
        <w:gridCol w:w="4852"/>
      </w:tblGrid>
      <w:tr w:rsidR="00055E4D" w:rsidRPr="005E7A71" w:rsidTr="005E7A71">
        <w:trPr>
          <w:jc w:val="right"/>
        </w:trPr>
        <w:tc>
          <w:tcPr>
            <w:tcW w:w="4752" w:type="dxa"/>
            <w:vAlign w:val="center"/>
          </w:tcPr>
          <w:p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t>Obiettivo strategico</w:t>
            </w:r>
          </w:p>
        </w:tc>
        <w:tc>
          <w:tcPr>
            <w:tcW w:w="4852" w:type="dxa"/>
            <w:vAlign w:val="center"/>
          </w:tcPr>
          <w:p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t>Indicatori di impatto</w:t>
            </w:r>
          </w:p>
        </w:tc>
      </w:tr>
      <w:tr w:rsidR="00055E4D" w:rsidRPr="005E7A71" w:rsidTr="005E7A71">
        <w:trPr>
          <w:jc w:val="right"/>
        </w:trPr>
        <w:tc>
          <w:tcPr>
            <w:tcW w:w="4752" w:type="dxa"/>
            <w:vAlign w:val="center"/>
          </w:tcPr>
          <w:p w:rsidR="00055E4D" w:rsidRPr="005E7A71" w:rsidRDefault="0096592E" w:rsidP="008854D3">
            <w:pPr>
              <w:pStyle w:val="Corpotesto"/>
              <w:jc w:val="both"/>
              <w:rPr>
                <w:rFonts w:ascii="Times New Roman" w:hAnsi="Times New Roman"/>
                <w:sz w:val="20"/>
                <w:szCs w:val="20"/>
              </w:rPr>
            </w:pPr>
            <w:r w:rsidRPr="005E7A71">
              <w:rPr>
                <w:rFonts w:ascii="Times New Roman" w:hAnsi="Times New Roman"/>
                <w:sz w:val="20"/>
                <w:szCs w:val="20"/>
              </w:rPr>
              <w:t>1. Mantenimento dei criteri di riconoscimento quale Organismo Pagatore, ai sensi del Reg. (CE) n. 907/14 (peso: 40%)</w:t>
            </w:r>
          </w:p>
        </w:tc>
        <w:tc>
          <w:tcPr>
            <w:tcW w:w="4852" w:type="dxa"/>
            <w:vAlign w:val="center"/>
          </w:tcPr>
          <w:p w:rsidR="00055E4D" w:rsidRDefault="0096592E" w:rsidP="005E7A71">
            <w:pPr>
              <w:tabs>
                <w:tab w:val="left" w:pos="3144"/>
              </w:tabs>
              <w:spacing w:after="0"/>
              <w:rPr>
                <w:rFonts w:ascii="Times New Roman" w:hAnsi="Times New Roman"/>
                <w:sz w:val="20"/>
                <w:szCs w:val="20"/>
              </w:rPr>
            </w:pPr>
            <w:r w:rsidRPr="005E7A71">
              <w:rPr>
                <w:rFonts w:ascii="Times New Roman" w:hAnsi="Times New Roman"/>
                <w:sz w:val="20"/>
                <w:szCs w:val="20"/>
              </w:rPr>
              <w:t>I1.1.1 Percentuale di ricevimenti dell’ufficio URCAA per i quali gli operatori CAA rilasciano un giudizio positivo (Sistema informativo per la gestione degli appuntamenti online)</w:t>
            </w:r>
          </w:p>
          <w:p w:rsidR="00CB3C4F" w:rsidRPr="005E7A71" w:rsidRDefault="00CB3C4F" w:rsidP="005E7A71">
            <w:pPr>
              <w:tabs>
                <w:tab w:val="left" w:pos="3144"/>
              </w:tabs>
              <w:spacing w:after="0"/>
              <w:rPr>
                <w:rFonts w:ascii="Times New Roman" w:hAnsi="Times New Roman"/>
                <w:sz w:val="20"/>
                <w:szCs w:val="20"/>
              </w:rPr>
            </w:pPr>
            <w:r>
              <w:rPr>
                <w:rFonts w:ascii="Times New Roman" w:hAnsi="Times New Roman"/>
                <w:sz w:val="20"/>
                <w:szCs w:val="20"/>
              </w:rPr>
              <w:t xml:space="preserve">Target: </w:t>
            </w:r>
            <w:r w:rsidRPr="005E7A71">
              <w:rPr>
                <w:rFonts w:ascii="Times New Roman" w:hAnsi="Times New Roman"/>
                <w:sz w:val="20"/>
                <w:szCs w:val="20"/>
              </w:rPr>
              <w:t>&gt;= 60%</w:t>
            </w:r>
          </w:p>
          <w:p w:rsidR="00055E4D" w:rsidRPr="005E7A71" w:rsidRDefault="0096592E" w:rsidP="005E7A71">
            <w:pPr>
              <w:tabs>
                <w:tab w:val="left" w:pos="3144"/>
              </w:tabs>
              <w:rPr>
                <w:rFonts w:ascii="Times New Roman" w:hAnsi="Times New Roman"/>
                <w:b/>
                <w:sz w:val="20"/>
                <w:szCs w:val="20"/>
                <w:u w:val="single"/>
              </w:rPr>
            </w:pPr>
            <w:r w:rsidRPr="005E7A71">
              <w:rPr>
                <w:rFonts w:ascii="Times New Roman" w:hAnsi="Times New Roman"/>
                <w:b/>
                <w:sz w:val="20"/>
                <w:szCs w:val="20"/>
                <w:u w:val="single"/>
              </w:rPr>
              <w:t>PESO: 100%</w:t>
            </w:r>
          </w:p>
          <w:p w:rsidR="00055E4D" w:rsidRPr="005E7A71" w:rsidRDefault="00055E4D" w:rsidP="005E7A71">
            <w:pPr>
              <w:autoSpaceDE w:val="0"/>
              <w:autoSpaceDN w:val="0"/>
              <w:adjustRightInd w:val="0"/>
              <w:spacing w:after="0"/>
              <w:rPr>
                <w:rFonts w:ascii="Times New Roman" w:hAnsi="Times New Roman"/>
                <w:sz w:val="20"/>
                <w:szCs w:val="20"/>
              </w:rPr>
            </w:pPr>
          </w:p>
        </w:tc>
      </w:tr>
      <w:tr w:rsidR="00055E4D" w:rsidRPr="005E7A71" w:rsidTr="005E7A71">
        <w:trPr>
          <w:jc w:val="right"/>
        </w:trPr>
        <w:tc>
          <w:tcPr>
            <w:tcW w:w="4752" w:type="dxa"/>
            <w:vAlign w:val="center"/>
          </w:tcPr>
          <w:p w:rsidR="00055E4D" w:rsidRPr="005E7A71" w:rsidRDefault="008854D3" w:rsidP="008854D3">
            <w:pPr>
              <w:pStyle w:val="Paragrafoelenco"/>
              <w:autoSpaceDE w:val="0"/>
              <w:autoSpaceDN w:val="0"/>
              <w:adjustRightInd w:val="0"/>
              <w:spacing w:after="0"/>
              <w:ind w:left="34"/>
              <w:jc w:val="both"/>
              <w:rPr>
                <w:rFonts w:ascii="Times New Roman" w:hAnsi="Times New Roman"/>
                <w:sz w:val="20"/>
                <w:szCs w:val="20"/>
              </w:rPr>
            </w:pPr>
            <w:r>
              <w:rPr>
                <w:rFonts w:ascii="Times New Roman" w:hAnsi="Times New Roman"/>
                <w:sz w:val="20"/>
                <w:szCs w:val="20"/>
              </w:rPr>
              <w:t xml:space="preserve">2. </w:t>
            </w:r>
            <w:r w:rsidR="0096592E" w:rsidRPr="005E7A71">
              <w:rPr>
                <w:rFonts w:ascii="Times New Roman" w:hAnsi="Times New Roman"/>
                <w:sz w:val="20"/>
                <w:szCs w:val="20"/>
              </w:rPr>
              <w:t xml:space="preserve">Raggiungimento degli obiettivi di spesa previsti dai regolamenti comunitari di riferimento per i Fondi FEAGA e FEASR e perfezionamento dell’iter dei </w:t>
            </w:r>
            <w:r w:rsidR="0096592E" w:rsidRPr="005E7A71">
              <w:rPr>
                <w:rFonts w:ascii="Times New Roman" w:hAnsi="Times New Roman"/>
                <w:sz w:val="20"/>
                <w:szCs w:val="20"/>
              </w:rPr>
              <w:lastRenderedPageBreak/>
              <w:t>pagamenti (peso: 30%)</w:t>
            </w:r>
          </w:p>
        </w:tc>
        <w:tc>
          <w:tcPr>
            <w:tcW w:w="4852" w:type="dxa"/>
            <w:vAlign w:val="center"/>
          </w:tcPr>
          <w:p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lastRenderedPageBreak/>
              <w:t xml:space="preserve">II.2.1 Raggiungimento del target relativo all’N+3 per il Fondo FEASR (Riscontrabile dal Report di “Rete Rurale” – Percentuale di realizzazione Delle spese </w:t>
            </w:r>
            <w:r w:rsidRPr="005E7A71">
              <w:rPr>
                <w:rFonts w:ascii="Times New Roman" w:hAnsi="Times New Roman"/>
                <w:sz w:val="20"/>
                <w:szCs w:val="20"/>
              </w:rPr>
              <w:lastRenderedPageBreak/>
              <w:t>dell’anno di Impegno 2016 pari al 100 %)</w:t>
            </w:r>
          </w:p>
          <w:p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100%</w:t>
            </w:r>
          </w:p>
          <w:p w:rsidR="00055E4D" w:rsidRPr="005E7A71" w:rsidRDefault="0096592E" w:rsidP="005E7A71">
            <w:pPr>
              <w:widowControl w:val="0"/>
              <w:autoSpaceDE w:val="0"/>
              <w:autoSpaceDN w:val="0"/>
              <w:adjustRightInd w:val="0"/>
              <w:spacing w:after="0"/>
              <w:rPr>
                <w:rFonts w:ascii="Times New Roman" w:hAnsi="Times New Roman"/>
                <w:b/>
                <w:sz w:val="20"/>
                <w:szCs w:val="20"/>
                <w:u w:val="single"/>
              </w:rPr>
            </w:pPr>
            <w:r w:rsidRPr="005E7A71">
              <w:rPr>
                <w:rFonts w:ascii="Times New Roman" w:hAnsi="Times New Roman"/>
                <w:b/>
                <w:sz w:val="20"/>
                <w:szCs w:val="20"/>
                <w:u w:val="single"/>
              </w:rPr>
              <w:t>PESO: 50%</w:t>
            </w:r>
          </w:p>
          <w:p w:rsidR="00055E4D" w:rsidRPr="005E7A71" w:rsidRDefault="00055E4D" w:rsidP="005E7A71">
            <w:pPr>
              <w:widowControl w:val="0"/>
              <w:autoSpaceDE w:val="0"/>
              <w:autoSpaceDN w:val="0"/>
              <w:adjustRightInd w:val="0"/>
              <w:spacing w:after="0"/>
              <w:rPr>
                <w:rFonts w:ascii="Times New Roman" w:hAnsi="Times New Roman"/>
                <w:sz w:val="20"/>
                <w:szCs w:val="20"/>
              </w:rPr>
            </w:pPr>
          </w:p>
          <w:p w:rsidR="00055E4D" w:rsidRPr="005E7A71"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II.2.2.2 Raggiungimento del target di spesa relativo al Fondo FEAGA per le domande presentate nella campagna 2018 (Almeno il 9</w:t>
            </w:r>
            <w:r w:rsidR="005F17CE">
              <w:rPr>
                <w:rFonts w:ascii="Times New Roman" w:hAnsi="Times New Roman"/>
                <w:sz w:val="20"/>
                <w:szCs w:val="20"/>
              </w:rPr>
              <w:t>6</w:t>
            </w:r>
            <w:r w:rsidRPr="005E7A71">
              <w:rPr>
                <w:rFonts w:ascii="Times New Roman" w:hAnsi="Times New Roman"/>
                <w:sz w:val="20"/>
                <w:szCs w:val="20"/>
              </w:rPr>
              <w:t>% degli importi ammissibili deve essere erogato entro il 30 Giug</w:t>
            </w:r>
            <w:r w:rsidR="00736F6E">
              <w:rPr>
                <w:rFonts w:ascii="Times New Roman" w:hAnsi="Times New Roman"/>
                <w:sz w:val="20"/>
                <w:szCs w:val="20"/>
              </w:rPr>
              <w:t>n</w:t>
            </w:r>
            <w:r w:rsidRPr="005E7A71">
              <w:rPr>
                <w:rFonts w:ascii="Times New Roman" w:hAnsi="Times New Roman"/>
                <w:sz w:val="20"/>
                <w:szCs w:val="20"/>
              </w:rPr>
              <w:t>o 201</w:t>
            </w:r>
            <w:r w:rsidR="00736F6E">
              <w:rPr>
                <w:rFonts w:ascii="Times New Roman" w:hAnsi="Times New Roman"/>
                <w:sz w:val="20"/>
                <w:szCs w:val="20"/>
              </w:rPr>
              <w:t>9</w:t>
            </w:r>
            <w:r w:rsidR="00D05540" w:rsidRPr="005E7A71">
              <w:rPr>
                <w:rFonts w:ascii="Times New Roman" w:hAnsi="Times New Roman"/>
                <w:sz w:val="20"/>
                <w:szCs w:val="20"/>
              </w:rPr>
              <w:t>,</w:t>
            </w:r>
          </w:p>
          <w:p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Riscontrabile dal sistema SIAN)</w:t>
            </w:r>
          </w:p>
          <w:p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&gt;= 96%</w:t>
            </w:r>
          </w:p>
          <w:p w:rsidR="00055E4D" w:rsidRPr="005E7A71" w:rsidRDefault="0096592E" w:rsidP="005E7A71">
            <w:pPr>
              <w:rPr>
                <w:rFonts w:ascii="Times New Roman" w:hAnsi="Times New Roman"/>
                <w:b/>
                <w:sz w:val="20"/>
                <w:szCs w:val="20"/>
                <w:u w:val="single"/>
              </w:rPr>
            </w:pPr>
            <w:r w:rsidRPr="005E7A71">
              <w:rPr>
                <w:rFonts w:ascii="Times New Roman" w:hAnsi="Times New Roman"/>
                <w:b/>
                <w:sz w:val="20"/>
                <w:szCs w:val="20"/>
                <w:u w:val="single"/>
              </w:rPr>
              <w:t>PESO: 50%</w:t>
            </w:r>
          </w:p>
        </w:tc>
      </w:tr>
      <w:tr w:rsidR="00055E4D" w:rsidRPr="00E63330" w:rsidTr="005E7A71">
        <w:trPr>
          <w:trHeight w:val="561"/>
          <w:jc w:val="right"/>
        </w:trPr>
        <w:tc>
          <w:tcPr>
            <w:tcW w:w="4752" w:type="dxa"/>
            <w:vAlign w:val="center"/>
          </w:tcPr>
          <w:p w:rsidR="001378E6" w:rsidRPr="008854D3" w:rsidRDefault="008854D3" w:rsidP="003C3367">
            <w:pPr>
              <w:autoSpaceDE w:val="0"/>
              <w:autoSpaceDN w:val="0"/>
              <w:adjustRightInd w:val="0"/>
              <w:spacing w:after="0"/>
              <w:jc w:val="both"/>
              <w:rPr>
                <w:rFonts w:ascii="Times New Roman" w:hAnsi="Times New Roman"/>
                <w:sz w:val="20"/>
                <w:szCs w:val="20"/>
              </w:rPr>
            </w:pPr>
            <w:r>
              <w:rPr>
                <w:rFonts w:ascii="Times New Roman" w:hAnsi="Times New Roman"/>
                <w:sz w:val="20"/>
                <w:szCs w:val="20"/>
              </w:rPr>
              <w:lastRenderedPageBreak/>
              <w:t xml:space="preserve">3. </w:t>
            </w:r>
            <w:r w:rsidR="0096592E" w:rsidRPr="003C3367">
              <w:rPr>
                <w:rFonts w:ascii="Times New Roman" w:hAnsi="Times New Roman"/>
                <w:sz w:val="20"/>
                <w:szCs w:val="20"/>
              </w:rPr>
              <w:t>Adeguamento delle funzionalità del sistema informativo, anche in funzione del Piano Triennale per l’Informatizzazione e di quanto disposto dal Reg (UE) 907/2014 in merito alla sicurezza delle informazioni (peso: 30%)</w:t>
            </w:r>
          </w:p>
        </w:tc>
        <w:tc>
          <w:tcPr>
            <w:tcW w:w="4852" w:type="dxa"/>
            <w:vAlign w:val="center"/>
          </w:tcPr>
          <w:p w:rsidR="00055E4D" w:rsidRDefault="0096592E" w:rsidP="005E7A71">
            <w:pPr>
              <w:autoSpaceDE w:val="0"/>
              <w:autoSpaceDN w:val="0"/>
              <w:adjustRightInd w:val="0"/>
              <w:spacing w:after="0"/>
              <w:rPr>
                <w:rFonts w:ascii="Times New Roman" w:hAnsi="Times New Roman"/>
                <w:sz w:val="20"/>
                <w:szCs w:val="20"/>
              </w:rPr>
            </w:pPr>
            <w:r w:rsidRPr="005E7A71">
              <w:rPr>
                <w:rFonts w:ascii="Times New Roman" w:hAnsi="Times New Roman"/>
                <w:sz w:val="20"/>
                <w:szCs w:val="20"/>
              </w:rPr>
              <w:t>II3.1: Possibilità per beneficiari e gli utenti di ARCEA di accedere ad almeno un’applicazione messa a disposizione dell’Agenzia tramite SPID (Riscontrabile dai sistemi dell’Agenzia e dai registri dell’Agenzia per l’Italia Digitale)</w:t>
            </w:r>
          </w:p>
          <w:p w:rsidR="00CB3C4F" w:rsidRPr="005E7A71" w:rsidRDefault="00CB3C4F" w:rsidP="005E7A71">
            <w:pPr>
              <w:autoSpaceDE w:val="0"/>
              <w:autoSpaceDN w:val="0"/>
              <w:adjustRightInd w:val="0"/>
              <w:spacing w:after="0"/>
              <w:rPr>
                <w:rFonts w:ascii="Times New Roman" w:hAnsi="Times New Roman"/>
                <w:sz w:val="20"/>
                <w:szCs w:val="20"/>
                <w:u w:val="single"/>
              </w:rPr>
            </w:pPr>
            <w:r>
              <w:rPr>
                <w:rFonts w:ascii="Times New Roman" w:hAnsi="Times New Roman"/>
                <w:sz w:val="20"/>
                <w:szCs w:val="20"/>
              </w:rPr>
              <w:t>Target: almeno un’applicazione</w:t>
            </w:r>
          </w:p>
          <w:p w:rsidR="00055E4D" w:rsidRPr="00E63330" w:rsidRDefault="0096592E" w:rsidP="005E7A71">
            <w:pPr>
              <w:autoSpaceDE w:val="0"/>
              <w:autoSpaceDN w:val="0"/>
              <w:adjustRightInd w:val="0"/>
              <w:spacing w:after="0"/>
              <w:rPr>
                <w:rFonts w:ascii="Times New Roman" w:hAnsi="Times New Roman"/>
                <w:b/>
                <w:sz w:val="20"/>
                <w:szCs w:val="20"/>
                <w:u w:val="single"/>
              </w:rPr>
            </w:pPr>
            <w:r w:rsidRPr="005E7A71">
              <w:rPr>
                <w:rFonts w:ascii="Times New Roman" w:hAnsi="Times New Roman"/>
                <w:b/>
                <w:sz w:val="20"/>
                <w:szCs w:val="20"/>
                <w:u w:val="single"/>
              </w:rPr>
              <w:t>PESO: 100%</w:t>
            </w:r>
          </w:p>
        </w:tc>
      </w:tr>
    </w:tbl>
    <w:p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rsidR="00793BFA" w:rsidRPr="00E63330" w:rsidRDefault="0096592E" w:rsidP="00793BF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Quadro sinottico Indicatori di Impatto – Fonti – Target Annuali e Semestrali </w:t>
      </w:r>
    </w:p>
    <w:p w:rsidR="00EA457D" w:rsidRPr="00E63330" w:rsidRDefault="00EA457D" w:rsidP="005C7ECC">
      <w:pPr>
        <w:autoSpaceDE w:val="0"/>
        <w:autoSpaceDN w:val="0"/>
        <w:adjustRightInd w:val="0"/>
        <w:spacing w:after="0"/>
        <w:jc w:val="both"/>
        <w:rPr>
          <w:rFonts w:ascii="Times New Roman" w:hAnsi="Times New Roman"/>
          <w:i/>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817"/>
        <w:gridCol w:w="2017"/>
        <w:gridCol w:w="1816"/>
        <w:gridCol w:w="1816"/>
      </w:tblGrid>
      <w:tr w:rsidR="005E7A71" w:rsidRPr="00E63330" w:rsidTr="00EA0621">
        <w:tc>
          <w:tcPr>
            <w:tcW w:w="1156" w:type="pct"/>
            <w:shd w:val="clear" w:color="auto" w:fill="auto"/>
            <w:vAlign w:val="center"/>
          </w:tcPr>
          <w:p w:rsidR="005E7A71" w:rsidRPr="00E63330" w:rsidRDefault="005E7A71" w:rsidP="005F17CE">
            <w:pPr>
              <w:autoSpaceDE w:val="0"/>
              <w:autoSpaceDN w:val="0"/>
              <w:adjustRightInd w:val="0"/>
              <w:spacing w:after="0"/>
              <w:rPr>
                <w:rFonts w:ascii="Times New Roman" w:hAnsi="Times New Roman"/>
                <w:sz w:val="24"/>
                <w:szCs w:val="24"/>
              </w:rPr>
            </w:pPr>
            <w:r>
              <w:rPr>
                <w:rFonts w:ascii="Times New Roman" w:hAnsi="Times New Roman"/>
                <w:b/>
                <w:sz w:val="18"/>
                <w:szCs w:val="18"/>
              </w:rPr>
              <w:t>Indicatore di Impatto</w:t>
            </w:r>
          </w:p>
        </w:tc>
        <w:tc>
          <w:tcPr>
            <w:tcW w:w="935" w:type="pct"/>
            <w:shd w:val="clear" w:color="auto" w:fill="auto"/>
          </w:tcPr>
          <w:p w:rsidR="005E7A71" w:rsidRPr="00E63330" w:rsidRDefault="005E7A71" w:rsidP="005F17CE">
            <w:pPr>
              <w:autoSpaceDE w:val="0"/>
              <w:autoSpaceDN w:val="0"/>
              <w:adjustRightInd w:val="0"/>
              <w:spacing w:after="0"/>
              <w:rPr>
                <w:rFonts w:ascii="Times New Roman" w:hAnsi="Times New Roman"/>
                <w:b/>
                <w:sz w:val="18"/>
                <w:szCs w:val="18"/>
              </w:rPr>
            </w:pPr>
            <w:r>
              <w:rPr>
                <w:rFonts w:ascii="Times New Roman" w:hAnsi="Times New Roman"/>
                <w:b/>
                <w:sz w:val="18"/>
                <w:szCs w:val="18"/>
              </w:rPr>
              <w:t>Fonte</w:t>
            </w:r>
          </w:p>
        </w:tc>
        <w:tc>
          <w:tcPr>
            <w:tcW w:w="1038" w:type="pct"/>
            <w:shd w:val="clear" w:color="auto" w:fill="auto"/>
          </w:tcPr>
          <w:p w:rsidR="005E7A71" w:rsidRPr="00E63330" w:rsidRDefault="005E7A71" w:rsidP="005F17CE">
            <w:pPr>
              <w:autoSpaceDE w:val="0"/>
              <w:autoSpaceDN w:val="0"/>
              <w:adjustRightInd w:val="0"/>
              <w:spacing w:after="0"/>
              <w:rPr>
                <w:rFonts w:ascii="Times New Roman" w:hAnsi="Times New Roman"/>
                <w:b/>
                <w:sz w:val="18"/>
                <w:szCs w:val="18"/>
              </w:rPr>
            </w:pPr>
            <w:r>
              <w:rPr>
                <w:rFonts w:ascii="Times New Roman" w:hAnsi="Times New Roman"/>
                <w:b/>
                <w:sz w:val="18"/>
                <w:szCs w:val="18"/>
              </w:rPr>
              <w:t>Target 30/06</w:t>
            </w:r>
          </w:p>
        </w:tc>
        <w:tc>
          <w:tcPr>
            <w:tcW w:w="935" w:type="pct"/>
            <w:shd w:val="clear" w:color="auto" w:fill="auto"/>
          </w:tcPr>
          <w:p w:rsidR="005E7A71" w:rsidRPr="00E63330" w:rsidRDefault="005E7A71" w:rsidP="005F17CE">
            <w:pPr>
              <w:autoSpaceDE w:val="0"/>
              <w:autoSpaceDN w:val="0"/>
              <w:adjustRightInd w:val="0"/>
              <w:spacing w:after="0"/>
              <w:rPr>
                <w:rFonts w:ascii="Times New Roman" w:hAnsi="Times New Roman"/>
                <w:b/>
                <w:sz w:val="18"/>
                <w:szCs w:val="18"/>
              </w:rPr>
            </w:pPr>
            <w:r>
              <w:rPr>
                <w:rFonts w:ascii="Times New Roman" w:hAnsi="Times New Roman"/>
                <w:b/>
                <w:sz w:val="18"/>
                <w:szCs w:val="18"/>
              </w:rPr>
              <w:t>Target 31/12</w:t>
            </w:r>
          </w:p>
        </w:tc>
        <w:tc>
          <w:tcPr>
            <w:tcW w:w="935" w:type="pct"/>
          </w:tcPr>
          <w:p w:rsidR="005E7A71" w:rsidRDefault="005E7A71" w:rsidP="005F17CE">
            <w:pPr>
              <w:autoSpaceDE w:val="0"/>
              <w:autoSpaceDN w:val="0"/>
              <w:adjustRightInd w:val="0"/>
              <w:spacing w:after="0"/>
              <w:rPr>
                <w:rFonts w:ascii="Times New Roman" w:hAnsi="Times New Roman"/>
                <w:b/>
                <w:sz w:val="18"/>
                <w:szCs w:val="18"/>
              </w:rPr>
            </w:pPr>
            <w:r>
              <w:rPr>
                <w:rFonts w:ascii="Times New Roman" w:hAnsi="Times New Roman"/>
                <w:b/>
                <w:sz w:val="18"/>
                <w:szCs w:val="18"/>
              </w:rPr>
              <w:t>Valore iniziale</w:t>
            </w:r>
          </w:p>
        </w:tc>
      </w:tr>
      <w:tr w:rsidR="005E7A71" w:rsidRPr="00E63330" w:rsidTr="00091EE6">
        <w:trPr>
          <w:trHeight w:val="1098"/>
        </w:trPr>
        <w:tc>
          <w:tcPr>
            <w:tcW w:w="1156" w:type="pct"/>
            <w:shd w:val="clear" w:color="auto" w:fill="auto"/>
            <w:vAlign w:val="center"/>
          </w:tcPr>
          <w:p w:rsidR="005E7A71" w:rsidRPr="00E63330" w:rsidRDefault="005E7A71" w:rsidP="00091EE6">
            <w:pPr>
              <w:tabs>
                <w:tab w:val="left" w:pos="3144"/>
              </w:tabs>
              <w:rPr>
                <w:rFonts w:ascii="Times New Roman" w:hAnsi="Times New Roman"/>
                <w:sz w:val="20"/>
                <w:szCs w:val="20"/>
              </w:rPr>
            </w:pPr>
            <w:r>
              <w:rPr>
                <w:rFonts w:ascii="Times New Roman" w:hAnsi="Times New Roman"/>
                <w:sz w:val="20"/>
                <w:szCs w:val="20"/>
              </w:rPr>
              <w:t>II.1.1 Percentuale di ricevimenti dell’ufficio URCAA per i quali gli operatori CAA rilasciano un giudizio positivo</w:t>
            </w:r>
          </w:p>
          <w:p w:rsidR="005E7A71" w:rsidRPr="00E63330" w:rsidRDefault="005E7A71" w:rsidP="00091EE6">
            <w:pPr>
              <w:autoSpaceDE w:val="0"/>
              <w:autoSpaceDN w:val="0"/>
              <w:adjustRightInd w:val="0"/>
              <w:spacing w:after="0"/>
              <w:rPr>
                <w:rFonts w:ascii="Times New Roman" w:hAnsi="Times New Roman"/>
                <w:sz w:val="18"/>
                <w:szCs w:val="18"/>
              </w:rPr>
            </w:pPr>
          </w:p>
        </w:tc>
        <w:tc>
          <w:tcPr>
            <w:tcW w:w="935" w:type="pct"/>
            <w:shd w:val="clear" w:color="auto" w:fill="auto"/>
            <w:vAlign w:val="center"/>
          </w:tcPr>
          <w:p w:rsidR="005E7A71" w:rsidRPr="00E63330" w:rsidRDefault="005E7A71" w:rsidP="00091EE6">
            <w:pPr>
              <w:tabs>
                <w:tab w:val="left" w:pos="287"/>
              </w:tabs>
              <w:spacing w:after="120"/>
              <w:rPr>
                <w:rFonts w:ascii="Times New Roman" w:hAnsi="Times New Roman"/>
                <w:sz w:val="18"/>
                <w:szCs w:val="18"/>
              </w:rPr>
            </w:pPr>
            <w:r>
              <w:rPr>
                <w:rFonts w:ascii="Times New Roman" w:hAnsi="Times New Roman"/>
                <w:sz w:val="20"/>
                <w:szCs w:val="20"/>
              </w:rPr>
              <w:t>Sistema informativo per la gestione degli appuntamenti online</w:t>
            </w:r>
          </w:p>
        </w:tc>
        <w:tc>
          <w:tcPr>
            <w:tcW w:w="1038" w:type="pct"/>
            <w:shd w:val="clear" w:color="auto" w:fill="auto"/>
            <w:vAlign w:val="center"/>
          </w:tcPr>
          <w:p w:rsidR="005E7A71" w:rsidRPr="003C3367" w:rsidRDefault="005E7A71" w:rsidP="003C3367">
            <w:pPr>
              <w:tabs>
                <w:tab w:val="left" w:pos="287"/>
              </w:tabs>
              <w:spacing w:after="120"/>
              <w:rPr>
                <w:rFonts w:ascii="Times New Roman" w:hAnsi="Times New Roman"/>
                <w:sz w:val="20"/>
                <w:szCs w:val="20"/>
              </w:rPr>
            </w:pPr>
            <w:r>
              <w:rPr>
                <w:rFonts w:ascii="Times New Roman" w:hAnsi="Times New Roman"/>
                <w:sz w:val="20"/>
                <w:szCs w:val="20"/>
              </w:rPr>
              <w:t xml:space="preserve">Percentuale di ricevimenti dell’ufficio URCAA per i quali gli operatori CAA rilasciano un giudizio positivo </w:t>
            </w:r>
            <w:r w:rsidRPr="003C3367">
              <w:rPr>
                <w:rFonts w:ascii="Times New Roman" w:hAnsi="Times New Roman"/>
                <w:sz w:val="20"/>
                <w:szCs w:val="20"/>
              </w:rPr>
              <w:t>&gt;= 60% (in relazione al 30/06)</w:t>
            </w:r>
          </w:p>
        </w:tc>
        <w:tc>
          <w:tcPr>
            <w:tcW w:w="935" w:type="pct"/>
            <w:shd w:val="clear" w:color="auto" w:fill="auto"/>
            <w:vAlign w:val="center"/>
          </w:tcPr>
          <w:p w:rsidR="005E7A71" w:rsidRPr="00E63330" w:rsidRDefault="005E7A71" w:rsidP="00091EE6">
            <w:pPr>
              <w:tabs>
                <w:tab w:val="left" w:pos="287"/>
              </w:tabs>
              <w:spacing w:after="120"/>
              <w:rPr>
                <w:rFonts w:ascii="Times New Roman" w:hAnsi="Times New Roman"/>
                <w:sz w:val="18"/>
                <w:szCs w:val="18"/>
              </w:rPr>
            </w:pPr>
            <w:r>
              <w:rPr>
                <w:rFonts w:ascii="Times New Roman" w:hAnsi="Times New Roman"/>
                <w:sz w:val="20"/>
                <w:szCs w:val="20"/>
              </w:rPr>
              <w:t>Percentuale di ricevimenti dell’ufficio URCAA per i quali gli operatori CAA rilasciano un giudizio positivo</w:t>
            </w:r>
            <w:r w:rsidR="00CB3C4F">
              <w:rPr>
                <w:rFonts w:ascii="Times New Roman" w:hAnsi="Times New Roman"/>
                <w:sz w:val="20"/>
                <w:szCs w:val="20"/>
              </w:rPr>
              <w:t xml:space="preserve"> </w:t>
            </w:r>
            <w:r>
              <w:rPr>
                <w:rFonts w:ascii="Times New Roman" w:hAnsi="Times New Roman"/>
                <w:sz w:val="24"/>
                <w:szCs w:val="24"/>
              </w:rPr>
              <w:t xml:space="preserve">&gt;= </w:t>
            </w:r>
            <w:r w:rsidRPr="00091EE6">
              <w:rPr>
                <w:rFonts w:ascii="Times New Roman" w:hAnsi="Times New Roman"/>
                <w:sz w:val="20"/>
                <w:szCs w:val="20"/>
              </w:rPr>
              <w:t>60%</w:t>
            </w:r>
          </w:p>
        </w:tc>
        <w:tc>
          <w:tcPr>
            <w:tcW w:w="935" w:type="pct"/>
            <w:vAlign w:val="center"/>
          </w:tcPr>
          <w:p w:rsidR="005E7A71" w:rsidRDefault="005E7A71" w:rsidP="00862710">
            <w:pPr>
              <w:tabs>
                <w:tab w:val="left" w:pos="287"/>
              </w:tabs>
              <w:spacing w:after="120"/>
              <w:rPr>
                <w:rFonts w:ascii="Times New Roman" w:hAnsi="Times New Roman"/>
                <w:sz w:val="20"/>
                <w:szCs w:val="20"/>
              </w:rPr>
            </w:pPr>
            <w:r>
              <w:rPr>
                <w:rFonts w:ascii="Times New Roman" w:hAnsi="Times New Roman"/>
                <w:sz w:val="20"/>
                <w:szCs w:val="20"/>
              </w:rPr>
              <w:t>Si tratta di una procedura di nuova attivazione</w:t>
            </w:r>
            <w:r w:rsidR="002E0E35">
              <w:rPr>
                <w:rFonts w:ascii="Times New Roman" w:hAnsi="Times New Roman"/>
                <w:sz w:val="20"/>
                <w:szCs w:val="20"/>
              </w:rPr>
              <w:t>.</w:t>
            </w:r>
            <w:r w:rsidR="00862710">
              <w:rPr>
                <w:rFonts w:ascii="Times New Roman" w:hAnsi="Times New Roman"/>
                <w:sz w:val="20"/>
                <w:szCs w:val="20"/>
              </w:rPr>
              <w:t xml:space="preserve"> Il valore è, pertanto, pari a 0.  </w:t>
            </w:r>
          </w:p>
        </w:tc>
      </w:tr>
      <w:tr w:rsidR="005E7A71" w:rsidRPr="00E63330" w:rsidTr="00091EE6">
        <w:trPr>
          <w:trHeight w:val="1097"/>
        </w:trPr>
        <w:tc>
          <w:tcPr>
            <w:tcW w:w="1156" w:type="pct"/>
            <w:shd w:val="clear" w:color="auto" w:fill="auto"/>
            <w:vAlign w:val="center"/>
          </w:tcPr>
          <w:p w:rsidR="005E7A71" w:rsidRPr="00E63330" w:rsidRDefault="005E7A71" w:rsidP="00091EE6">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 xml:space="preserve">II.2.1 Raggiungimento del target relativo all’N+3 per il Fondo FEASR </w:t>
            </w:r>
          </w:p>
          <w:p w:rsidR="005E7A71" w:rsidRPr="00E63330" w:rsidRDefault="005E7A71" w:rsidP="00091EE6">
            <w:pPr>
              <w:tabs>
                <w:tab w:val="left" w:pos="287"/>
              </w:tabs>
              <w:spacing w:after="120"/>
              <w:rPr>
                <w:rFonts w:ascii="Times New Roman" w:hAnsi="Times New Roman"/>
                <w:sz w:val="18"/>
                <w:szCs w:val="18"/>
              </w:rPr>
            </w:pPr>
          </w:p>
        </w:tc>
        <w:tc>
          <w:tcPr>
            <w:tcW w:w="935" w:type="pct"/>
            <w:shd w:val="clear" w:color="auto" w:fill="auto"/>
            <w:vAlign w:val="center"/>
          </w:tcPr>
          <w:p w:rsidR="005E7A71" w:rsidRPr="00E63330" w:rsidRDefault="005E7A71" w:rsidP="00091EE6">
            <w:pPr>
              <w:tabs>
                <w:tab w:val="left" w:pos="287"/>
              </w:tabs>
              <w:spacing w:after="120"/>
              <w:rPr>
                <w:rFonts w:ascii="Times New Roman" w:hAnsi="Times New Roman"/>
                <w:sz w:val="18"/>
                <w:szCs w:val="18"/>
              </w:rPr>
            </w:pPr>
            <w:r>
              <w:rPr>
                <w:rFonts w:ascii="Times New Roman" w:hAnsi="Times New Roman"/>
                <w:sz w:val="20"/>
                <w:szCs w:val="20"/>
              </w:rPr>
              <w:t>Riscontrabile dal Report di “Rete Rurale”</w:t>
            </w:r>
          </w:p>
        </w:tc>
        <w:tc>
          <w:tcPr>
            <w:tcW w:w="1038" w:type="pct"/>
            <w:shd w:val="clear" w:color="auto" w:fill="auto"/>
            <w:vAlign w:val="center"/>
          </w:tcPr>
          <w:p w:rsidR="005E7A71" w:rsidRDefault="005E7A71" w:rsidP="003C3367">
            <w:pPr>
              <w:tabs>
                <w:tab w:val="left" w:pos="287"/>
              </w:tabs>
              <w:spacing w:after="120"/>
              <w:rPr>
                <w:rFonts w:ascii="Times New Roman" w:hAnsi="Times New Roman"/>
                <w:sz w:val="18"/>
                <w:szCs w:val="18"/>
              </w:rPr>
            </w:pPr>
            <w:r>
              <w:rPr>
                <w:rFonts w:ascii="Times New Roman" w:hAnsi="Times New Roman"/>
                <w:sz w:val="20"/>
                <w:szCs w:val="20"/>
              </w:rPr>
              <w:t>Percentuale di realizzazione Delle spese dell’anno di Impegno 2016 pari al 90 %</w:t>
            </w:r>
          </w:p>
        </w:tc>
        <w:tc>
          <w:tcPr>
            <w:tcW w:w="935" w:type="pct"/>
            <w:shd w:val="clear" w:color="auto" w:fill="auto"/>
            <w:vAlign w:val="center"/>
          </w:tcPr>
          <w:p w:rsidR="005E7A71" w:rsidRDefault="005E7A71" w:rsidP="003C3367">
            <w:pPr>
              <w:tabs>
                <w:tab w:val="left" w:pos="287"/>
              </w:tabs>
              <w:spacing w:after="120"/>
              <w:rPr>
                <w:rFonts w:ascii="Times New Roman" w:hAnsi="Times New Roman"/>
                <w:sz w:val="18"/>
                <w:szCs w:val="18"/>
              </w:rPr>
            </w:pPr>
            <w:r>
              <w:rPr>
                <w:rFonts w:ascii="Times New Roman" w:hAnsi="Times New Roman"/>
                <w:sz w:val="20"/>
                <w:szCs w:val="20"/>
              </w:rPr>
              <w:t>Percentuale di realizzazione Delle spese dell’anno di Impegno 2016 pari al 100 %</w:t>
            </w:r>
          </w:p>
        </w:tc>
        <w:tc>
          <w:tcPr>
            <w:tcW w:w="935" w:type="pct"/>
            <w:vAlign w:val="center"/>
          </w:tcPr>
          <w:p w:rsidR="005E7A71" w:rsidRDefault="005E7A71" w:rsidP="00091EE6">
            <w:pPr>
              <w:tabs>
                <w:tab w:val="left" w:pos="287"/>
              </w:tabs>
              <w:spacing w:after="120"/>
              <w:rPr>
                <w:rFonts w:ascii="Times New Roman" w:hAnsi="Times New Roman"/>
                <w:sz w:val="20"/>
                <w:szCs w:val="20"/>
              </w:rPr>
            </w:pPr>
            <w:r>
              <w:rPr>
                <w:rFonts w:ascii="Times New Roman" w:hAnsi="Times New Roman"/>
                <w:sz w:val="20"/>
                <w:szCs w:val="20"/>
              </w:rPr>
              <w:t>88%</w:t>
            </w:r>
          </w:p>
        </w:tc>
      </w:tr>
      <w:tr w:rsidR="005E7A71" w:rsidRPr="00E63330" w:rsidTr="00091EE6">
        <w:trPr>
          <w:trHeight w:val="1097"/>
        </w:trPr>
        <w:tc>
          <w:tcPr>
            <w:tcW w:w="1156" w:type="pct"/>
            <w:shd w:val="clear" w:color="auto" w:fill="auto"/>
            <w:vAlign w:val="center"/>
          </w:tcPr>
          <w:p w:rsidR="005E7A71" w:rsidRDefault="005E7A71" w:rsidP="003C3367">
            <w:pPr>
              <w:widowControl w:val="0"/>
              <w:autoSpaceDE w:val="0"/>
              <w:autoSpaceDN w:val="0"/>
              <w:adjustRightInd w:val="0"/>
              <w:spacing w:after="0"/>
              <w:rPr>
                <w:rFonts w:ascii="Times New Roman" w:hAnsi="Times New Roman"/>
                <w:sz w:val="18"/>
                <w:szCs w:val="18"/>
              </w:rPr>
            </w:pPr>
            <w:r>
              <w:rPr>
                <w:rFonts w:ascii="Times New Roman" w:hAnsi="Times New Roman"/>
                <w:sz w:val="20"/>
                <w:szCs w:val="20"/>
              </w:rPr>
              <w:t xml:space="preserve">II.2.2 Raggiungimento del target di spesa relativo al Fondo FEAGA per le domande presentate nella campagna 2018 </w:t>
            </w:r>
          </w:p>
        </w:tc>
        <w:tc>
          <w:tcPr>
            <w:tcW w:w="935" w:type="pct"/>
            <w:shd w:val="clear" w:color="auto" w:fill="auto"/>
            <w:vAlign w:val="center"/>
          </w:tcPr>
          <w:p w:rsidR="005E7A71" w:rsidRPr="00E63330" w:rsidRDefault="005E7A71" w:rsidP="00091EE6">
            <w:pPr>
              <w:tabs>
                <w:tab w:val="left" w:pos="287"/>
              </w:tabs>
              <w:spacing w:after="120"/>
              <w:rPr>
                <w:rFonts w:ascii="Times New Roman" w:hAnsi="Times New Roman"/>
                <w:i/>
                <w:sz w:val="18"/>
                <w:szCs w:val="18"/>
              </w:rPr>
            </w:pPr>
            <w:r>
              <w:rPr>
                <w:rFonts w:ascii="Times New Roman" w:hAnsi="Times New Roman"/>
                <w:sz w:val="20"/>
                <w:szCs w:val="20"/>
              </w:rPr>
              <w:t>Riscontrabile dal sistema SIAN</w:t>
            </w:r>
          </w:p>
        </w:tc>
        <w:tc>
          <w:tcPr>
            <w:tcW w:w="1038" w:type="pct"/>
            <w:shd w:val="clear" w:color="auto" w:fill="auto"/>
            <w:vAlign w:val="center"/>
          </w:tcPr>
          <w:p w:rsidR="005E7A71" w:rsidRDefault="005E7A71" w:rsidP="003C3367">
            <w:pPr>
              <w:tabs>
                <w:tab w:val="left" w:pos="287"/>
              </w:tabs>
              <w:spacing w:after="120"/>
              <w:rPr>
                <w:rFonts w:ascii="Times New Roman" w:hAnsi="Times New Roman"/>
                <w:sz w:val="24"/>
                <w:szCs w:val="24"/>
              </w:rPr>
            </w:pPr>
            <w:r>
              <w:rPr>
                <w:rFonts w:ascii="Times New Roman" w:hAnsi="Times New Roman"/>
                <w:sz w:val="20"/>
                <w:szCs w:val="20"/>
              </w:rPr>
              <w:t>Almeno il 90% degli importi ammissibili deve essere erogato entro il 30 Giugno 201</w:t>
            </w:r>
            <w:r w:rsidR="00736F6E">
              <w:rPr>
                <w:rFonts w:ascii="Times New Roman" w:hAnsi="Times New Roman"/>
                <w:sz w:val="20"/>
                <w:szCs w:val="20"/>
              </w:rPr>
              <w:t>9</w:t>
            </w:r>
          </w:p>
        </w:tc>
        <w:tc>
          <w:tcPr>
            <w:tcW w:w="935" w:type="pct"/>
            <w:shd w:val="clear" w:color="auto" w:fill="auto"/>
            <w:vAlign w:val="center"/>
          </w:tcPr>
          <w:p w:rsidR="005E7A71" w:rsidRPr="00E63330" w:rsidDel="00B96644" w:rsidRDefault="005E7A71" w:rsidP="00736F6E">
            <w:pPr>
              <w:tabs>
                <w:tab w:val="left" w:pos="287"/>
              </w:tabs>
              <w:spacing w:after="120"/>
              <w:rPr>
                <w:rFonts w:ascii="Times New Roman" w:hAnsi="Times New Roman"/>
                <w:sz w:val="24"/>
                <w:szCs w:val="24"/>
              </w:rPr>
            </w:pPr>
            <w:r>
              <w:rPr>
                <w:rFonts w:ascii="Times New Roman" w:hAnsi="Times New Roman"/>
                <w:sz w:val="20"/>
                <w:szCs w:val="20"/>
              </w:rPr>
              <w:t>Almeno il 9</w:t>
            </w:r>
            <w:r w:rsidR="005F17CE">
              <w:rPr>
                <w:rFonts w:ascii="Times New Roman" w:hAnsi="Times New Roman"/>
                <w:sz w:val="20"/>
                <w:szCs w:val="20"/>
              </w:rPr>
              <w:t>6</w:t>
            </w:r>
            <w:r>
              <w:rPr>
                <w:rFonts w:ascii="Times New Roman" w:hAnsi="Times New Roman"/>
                <w:sz w:val="20"/>
                <w:szCs w:val="20"/>
              </w:rPr>
              <w:t>% degli importi ammissibili deve essere erogato entro il 30 Giugno 201</w:t>
            </w:r>
            <w:r w:rsidR="00736F6E">
              <w:rPr>
                <w:rFonts w:ascii="Times New Roman" w:hAnsi="Times New Roman"/>
                <w:sz w:val="20"/>
                <w:szCs w:val="20"/>
              </w:rPr>
              <w:t>9</w:t>
            </w:r>
          </w:p>
        </w:tc>
        <w:tc>
          <w:tcPr>
            <w:tcW w:w="935" w:type="pct"/>
            <w:vAlign w:val="center"/>
          </w:tcPr>
          <w:p w:rsidR="005E7A71" w:rsidRDefault="00091EE6" w:rsidP="00091EE6">
            <w:pPr>
              <w:tabs>
                <w:tab w:val="left" w:pos="287"/>
              </w:tabs>
              <w:spacing w:after="120"/>
              <w:rPr>
                <w:rFonts w:ascii="Times New Roman" w:hAnsi="Times New Roman"/>
                <w:sz w:val="20"/>
                <w:szCs w:val="20"/>
              </w:rPr>
            </w:pPr>
            <w:r>
              <w:rPr>
                <w:rFonts w:ascii="Times New Roman" w:hAnsi="Times New Roman"/>
                <w:sz w:val="20"/>
                <w:szCs w:val="20"/>
              </w:rPr>
              <w:t>68%</w:t>
            </w:r>
            <w:r w:rsidR="0080079E">
              <w:rPr>
                <w:rFonts w:ascii="Times New Roman" w:hAnsi="Times New Roman"/>
                <w:sz w:val="20"/>
                <w:szCs w:val="20"/>
              </w:rPr>
              <w:t xml:space="preserve"> (*)</w:t>
            </w:r>
          </w:p>
        </w:tc>
      </w:tr>
      <w:tr w:rsidR="005E7A71" w:rsidRPr="00E63330" w:rsidTr="00EA0621">
        <w:trPr>
          <w:trHeight w:val="1425"/>
        </w:trPr>
        <w:tc>
          <w:tcPr>
            <w:tcW w:w="1156" w:type="pct"/>
            <w:shd w:val="clear" w:color="auto" w:fill="auto"/>
            <w:vAlign w:val="center"/>
          </w:tcPr>
          <w:p w:rsidR="005E7A71" w:rsidRPr="00E63330" w:rsidRDefault="005E7A71" w:rsidP="00CB25F0">
            <w:pPr>
              <w:tabs>
                <w:tab w:val="left" w:pos="287"/>
              </w:tabs>
              <w:spacing w:after="120"/>
              <w:jc w:val="both"/>
              <w:rPr>
                <w:rFonts w:ascii="Times New Roman" w:hAnsi="Times New Roman"/>
                <w:sz w:val="18"/>
                <w:szCs w:val="18"/>
              </w:rPr>
            </w:pPr>
            <w:r>
              <w:rPr>
                <w:rFonts w:ascii="Times New Roman" w:hAnsi="Times New Roman"/>
                <w:sz w:val="20"/>
                <w:szCs w:val="20"/>
              </w:rPr>
              <w:t xml:space="preserve">II.3.1 Possibilità per beneficiari e gli utenti di ARCEA di accedere ad almeno un’applicazione messa a disposizione dell’Agenzia tramite SPID </w:t>
            </w:r>
          </w:p>
        </w:tc>
        <w:tc>
          <w:tcPr>
            <w:tcW w:w="935" w:type="pct"/>
            <w:shd w:val="clear" w:color="auto" w:fill="auto"/>
          </w:tcPr>
          <w:p w:rsidR="005E7A71" w:rsidRPr="00E63330" w:rsidRDefault="005E7A71" w:rsidP="00EA457D">
            <w:pPr>
              <w:tabs>
                <w:tab w:val="left" w:pos="287"/>
              </w:tabs>
              <w:spacing w:after="120"/>
              <w:jc w:val="both"/>
              <w:rPr>
                <w:rFonts w:ascii="Times New Roman" w:hAnsi="Times New Roman"/>
                <w:sz w:val="18"/>
                <w:szCs w:val="18"/>
              </w:rPr>
            </w:pPr>
            <w:r>
              <w:rPr>
                <w:rFonts w:ascii="Times New Roman" w:hAnsi="Times New Roman"/>
                <w:sz w:val="20"/>
                <w:szCs w:val="20"/>
              </w:rPr>
              <w:t>Riscontrabile dai sistemi dell’Agenzia e dai registri dell’Agenzia per l’Italia Digitale</w:t>
            </w:r>
          </w:p>
        </w:tc>
        <w:tc>
          <w:tcPr>
            <w:tcW w:w="1038" w:type="pct"/>
            <w:shd w:val="clear" w:color="auto" w:fill="auto"/>
          </w:tcPr>
          <w:p w:rsidR="005E7A71" w:rsidRDefault="005E7A71" w:rsidP="003C3367">
            <w:pPr>
              <w:tabs>
                <w:tab w:val="left" w:pos="287"/>
              </w:tabs>
              <w:spacing w:after="120"/>
              <w:jc w:val="both"/>
              <w:rPr>
                <w:rFonts w:ascii="Times New Roman" w:hAnsi="Times New Roman"/>
                <w:sz w:val="18"/>
                <w:szCs w:val="18"/>
              </w:rPr>
            </w:pPr>
            <w:r w:rsidRPr="003C3367">
              <w:rPr>
                <w:rFonts w:ascii="Times New Roman" w:hAnsi="Times New Roman"/>
                <w:sz w:val="20"/>
                <w:szCs w:val="20"/>
              </w:rPr>
              <w:t>Pubblicazione del</w:t>
            </w:r>
            <w:r>
              <w:rPr>
                <w:rFonts w:ascii="Times New Roman" w:hAnsi="Times New Roman"/>
                <w:sz w:val="20"/>
                <w:szCs w:val="20"/>
              </w:rPr>
              <w:t xml:space="preserve"> </w:t>
            </w:r>
            <w:r w:rsidRPr="003C3367">
              <w:rPr>
                <w:rFonts w:ascii="Times New Roman" w:hAnsi="Times New Roman"/>
                <w:sz w:val="20"/>
                <w:szCs w:val="20"/>
              </w:rPr>
              <w:t>documento relativo ai metadati e fine dell’implementazione software per la connessione ai provider SPID</w:t>
            </w:r>
          </w:p>
        </w:tc>
        <w:tc>
          <w:tcPr>
            <w:tcW w:w="935" w:type="pct"/>
            <w:shd w:val="clear" w:color="auto" w:fill="auto"/>
          </w:tcPr>
          <w:p w:rsidR="005E7A71" w:rsidRDefault="005E7A71" w:rsidP="003C3367">
            <w:pPr>
              <w:tabs>
                <w:tab w:val="left" w:pos="287"/>
              </w:tabs>
              <w:spacing w:after="120"/>
              <w:jc w:val="both"/>
              <w:rPr>
                <w:rFonts w:ascii="Times New Roman" w:hAnsi="Times New Roman"/>
                <w:sz w:val="18"/>
                <w:szCs w:val="18"/>
              </w:rPr>
            </w:pPr>
            <w:r>
              <w:rPr>
                <w:rFonts w:ascii="Times New Roman" w:hAnsi="Times New Roman"/>
                <w:sz w:val="20"/>
                <w:szCs w:val="20"/>
              </w:rPr>
              <w:t xml:space="preserve">Almeno un’applicazione messa a disposizione dell’Agenzia </w:t>
            </w:r>
            <w:r w:rsidR="00862710">
              <w:rPr>
                <w:rFonts w:ascii="Times New Roman" w:hAnsi="Times New Roman"/>
                <w:sz w:val="20"/>
                <w:szCs w:val="20"/>
              </w:rPr>
              <w:t xml:space="preserve">deve essere accessibile </w:t>
            </w:r>
            <w:r>
              <w:rPr>
                <w:rFonts w:ascii="Times New Roman" w:hAnsi="Times New Roman"/>
                <w:sz w:val="20"/>
                <w:szCs w:val="20"/>
              </w:rPr>
              <w:t xml:space="preserve">tramite SPID </w:t>
            </w:r>
          </w:p>
        </w:tc>
        <w:tc>
          <w:tcPr>
            <w:tcW w:w="935" w:type="pct"/>
          </w:tcPr>
          <w:p w:rsidR="005E7A71" w:rsidRDefault="005E7A71">
            <w:pPr>
              <w:tabs>
                <w:tab w:val="left" w:pos="287"/>
              </w:tabs>
              <w:spacing w:after="120"/>
              <w:jc w:val="both"/>
              <w:rPr>
                <w:rFonts w:ascii="Times New Roman" w:hAnsi="Times New Roman"/>
                <w:sz w:val="20"/>
                <w:szCs w:val="20"/>
              </w:rPr>
            </w:pPr>
            <w:r>
              <w:rPr>
                <w:rFonts w:ascii="Times New Roman" w:hAnsi="Times New Roman"/>
                <w:sz w:val="20"/>
                <w:szCs w:val="20"/>
              </w:rPr>
              <w:t>Si tratta di una procedura di nuova attivazione</w:t>
            </w:r>
            <w:r w:rsidR="00862710">
              <w:rPr>
                <w:rFonts w:ascii="Times New Roman" w:hAnsi="Times New Roman"/>
                <w:sz w:val="20"/>
                <w:szCs w:val="20"/>
              </w:rPr>
              <w:t xml:space="preserve">. Il valore è, pertanto, pari a 0.  </w:t>
            </w:r>
          </w:p>
        </w:tc>
      </w:tr>
    </w:tbl>
    <w:p w:rsidR="00EA457D" w:rsidRDefault="00EA457D" w:rsidP="005C7ECC">
      <w:pPr>
        <w:autoSpaceDE w:val="0"/>
        <w:autoSpaceDN w:val="0"/>
        <w:adjustRightInd w:val="0"/>
        <w:spacing w:after="0"/>
        <w:jc w:val="both"/>
        <w:rPr>
          <w:rFonts w:ascii="Times New Roman" w:hAnsi="Times New Roman"/>
          <w:i/>
          <w:sz w:val="24"/>
          <w:szCs w:val="24"/>
          <w:u w:val="single"/>
        </w:rPr>
      </w:pPr>
    </w:p>
    <w:p w:rsidR="0080079E" w:rsidRPr="0080079E" w:rsidRDefault="0080079E" w:rsidP="005C7ECC">
      <w:pPr>
        <w:autoSpaceDE w:val="0"/>
        <w:autoSpaceDN w:val="0"/>
        <w:adjustRightInd w:val="0"/>
        <w:spacing w:after="0"/>
        <w:jc w:val="both"/>
        <w:rPr>
          <w:rFonts w:ascii="Times New Roman" w:hAnsi="Times New Roman"/>
          <w:sz w:val="24"/>
          <w:szCs w:val="24"/>
        </w:rPr>
      </w:pPr>
      <w:r w:rsidRPr="0080079E">
        <w:rPr>
          <w:rFonts w:ascii="Times New Roman" w:hAnsi="Times New Roman"/>
          <w:sz w:val="24"/>
          <w:szCs w:val="24"/>
        </w:rPr>
        <w:lastRenderedPageBreak/>
        <w:t>(*) il valore di partenza dell’indicatore è calcolato in via approssimativa</w:t>
      </w:r>
      <w:r w:rsidR="00A2730F">
        <w:rPr>
          <w:rFonts w:ascii="Times New Roman" w:hAnsi="Times New Roman"/>
          <w:sz w:val="24"/>
          <w:szCs w:val="24"/>
        </w:rPr>
        <w:t>,</w:t>
      </w:r>
      <w:r w:rsidRPr="0080079E">
        <w:rPr>
          <w:rFonts w:ascii="Times New Roman" w:hAnsi="Times New Roman"/>
          <w:sz w:val="24"/>
          <w:szCs w:val="24"/>
        </w:rPr>
        <w:t xml:space="preserve"> </w:t>
      </w:r>
      <w:r w:rsidR="00A2730F">
        <w:rPr>
          <w:rFonts w:ascii="Times New Roman" w:hAnsi="Times New Roman"/>
          <w:sz w:val="24"/>
          <w:szCs w:val="24"/>
        </w:rPr>
        <w:t xml:space="preserve">e comunque per difetto, </w:t>
      </w:r>
      <w:r w:rsidRPr="0080079E">
        <w:rPr>
          <w:rFonts w:ascii="Times New Roman" w:hAnsi="Times New Roman"/>
          <w:sz w:val="24"/>
          <w:szCs w:val="24"/>
        </w:rPr>
        <w:t>in quanto non si dispongono ancora di tutte le informazioni necessarie alla sua determinazione analitica</w:t>
      </w:r>
      <w:r>
        <w:rPr>
          <w:rFonts w:ascii="Times New Roman" w:hAnsi="Times New Roman"/>
          <w:sz w:val="24"/>
          <w:szCs w:val="24"/>
        </w:rPr>
        <w:t xml:space="preserve">. </w:t>
      </w:r>
    </w:p>
    <w:p w:rsidR="00EA457D" w:rsidRPr="00E63330" w:rsidRDefault="00EA457D" w:rsidP="005C7ECC">
      <w:pPr>
        <w:autoSpaceDE w:val="0"/>
        <w:autoSpaceDN w:val="0"/>
        <w:adjustRightInd w:val="0"/>
        <w:spacing w:after="0"/>
        <w:jc w:val="both"/>
        <w:rPr>
          <w:rFonts w:ascii="Times New Roman" w:hAnsi="Times New Roman"/>
          <w:i/>
          <w:sz w:val="24"/>
          <w:szCs w:val="24"/>
          <w:u w:val="single"/>
        </w:rPr>
      </w:pPr>
    </w:p>
    <w:p w:rsidR="005B2908" w:rsidRPr="00E63330" w:rsidRDefault="0096592E" w:rsidP="005C7ECC">
      <w:pPr>
        <w:autoSpaceDE w:val="0"/>
        <w:autoSpaceDN w:val="0"/>
        <w:adjustRightInd w:val="0"/>
        <w:spacing w:after="0"/>
        <w:jc w:val="both"/>
        <w:rPr>
          <w:rFonts w:ascii="Times New Roman" w:hAnsi="Times New Roman"/>
          <w:i/>
          <w:sz w:val="24"/>
          <w:szCs w:val="24"/>
          <w:u w:val="single"/>
        </w:rPr>
      </w:pPr>
      <w:bookmarkStart w:id="95" w:name="OLE_LINK9"/>
      <w:bookmarkStart w:id="96" w:name="OLE_LINK10"/>
      <w:r>
        <w:rPr>
          <w:rFonts w:ascii="Times New Roman" w:hAnsi="Times New Roman"/>
          <w:i/>
          <w:sz w:val="24"/>
          <w:szCs w:val="24"/>
          <w:u w:val="single"/>
        </w:rPr>
        <w:t>Quadro sinottico degli Obiettivi, Indicatori, Target ed Ambiti di Performance</w:t>
      </w:r>
    </w:p>
    <w:p w:rsidR="0020337B" w:rsidRPr="00E63330" w:rsidRDefault="0020337B" w:rsidP="005C7ECC">
      <w:pPr>
        <w:autoSpaceDE w:val="0"/>
        <w:autoSpaceDN w:val="0"/>
        <w:adjustRightInd w:val="0"/>
        <w:spacing w:after="0"/>
        <w:jc w:val="both"/>
        <w:rPr>
          <w:rFonts w:ascii="Times New Roman" w:hAnsi="Times New Roman"/>
          <w:i/>
          <w:sz w:val="24"/>
          <w:szCs w:val="24"/>
          <w:u w:val="single"/>
        </w:rPr>
      </w:pPr>
    </w:p>
    <w:p w:rsidR="0020337B" w:rsidRPr="00E63330" w:rsidRDefault="0020337B" w:rsidP="005C7ECC">
      <w:pPr>
        <w:autoSpaceDE w:val="0"/>
        <w:autoSpaceDN w:val="0"/>
        <w:adjustRightInd w:val="0"/>
        <w:spacing w:after="0"/>
        <w:jc w:val="both"/>
        <w:rPr>
          <w:rFonts w:ascii="Times New Roman" w:hAnsi="Times New Roman"/>
          <w:i/>
          <w:sz w:val="24"/>
          <w:szCs w:val="24"/>
          <w:u w:val="single"/>
        </w:rPr>
      </w:pPr>
    </w:p>
    <w:bookmarkEnd w:id="95"/>
    <w:bookmarkEnd w:id="96"/>
    <w:p w:rsidR="0020337B" w:rsidRPr="00E63330" w:rsidRDefault="0020337B" w:rsidP="00AB3CB1">
      <w:pPr>
        <w:autoSpaceDE w:val="0"/>
        <w:autoSpaceDN w:val="0"/>
        <w:adjustRightInd w:val="0"/>
        <w:spacing w:after="0"/>
        <w:jc w:val="both"/>
        <w:rPr>
          <w:rFonts w:ascii="Times New Roman" w:hAnsi="Times New Roman"/>
          <w:sz w:val="24"/>
          <w:szCs w:val="24"/>
        </w:rPr>
      </w:pPr>
    </w:p>
    <w:tbl>
      <w:tblPr>
        <w:tblpPr w:leftFromText="141" w:rightFromText="141" w:vertAnchor="text" w:horzAnchor="page" w:tblpX="1063"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656"/>
        <w:gridCol w:w="1516"/>
        <w:gridCol w:w="2253"/>
        <w:gridCol w:w="2651"/>
      </w:tblGrid>
      <w:tr w:rsidR="00055E4D" w:rsidRPr="00E63330" w:rsidTr="00417BBC">
        <w:tc>
          <w:tcPr>
            <w:tcW w:w="842" w:type="pct"/>
            <w:vAlign w:val="center"/>
          </w:tcPr>
          <w:p w:rsidR="00055E4D" w:rsidRPr="00E63330" w:rsidRDefault="0096592E" w:rsidP="00055E4D">
            <w:pPr>
              <w:jc w:val="center"/>
              <w:rPr>
                <w:rFonts w:ascii="Times New Roman" w:hAnsi="Times New Roman"/>
                <w:b/>
                <w:sz w:val="18"/>
                <w:szCs w:val="18"/>
              </w:rPr>
            </w:pPr>
            <w:r>
              <w:rPr>
                <w:rFonts w:ascii="Times New Roman" w:hAnsi="Times New Roman"/>
                <w:b/>
                <w:sz w:val="18"/>
                <w:szCs w:val="18"/>
              </w:rPr>
              <w:t>Obiettivo Strategico</w:t>
            </w:r>
          </w:p>
        </w:tc>
        <w:tc>
          <w:tcPr>
            <w:tcW w:w="853" w:type="pct"/>
            <w:vAlign w:val="center"/>
          </w:tcPr>
          <w:p w:rsidR="00055E4D" w:rsidRPr="00E63330" w:rsidRDefault="0096592E" w:rsidP="00055E4D">
            <w:pPr>
              <w:jc w:val="center"/>
              <w:rPr>
                <w:rFonts w:ascii="Times New Roman" w:hAnsi="Times New Roman"/>
                <w:b/>
                <w:sz w:val="18"/>
                <w:szCs w:val="18"/>
              </w:rPr>
            </w:pPr>
            <w:r>
              <w:rPr>
                <w:rFonts w:ascii="Times New Roman" w:hAnsi="Times New Roman"/>
                <w:b/>
                <w:sz w:val="18"/>
                <w:szCs w:val="18"/>
              </w:rPr>
              <w:t>Obiettivi operativi</w:t>
            </w:r>
          </w:p>
        </w:tc>
        <w:tc>
          <w:tcPr>
            <w:tcW w:w="780" w:type="pct"/>
            <w:vAlign w:val="center"/>
          </w:tcPr>
          <w:p w:rsidR="00055E4D" w:rsidRPr="00E63330" w:rsidRDefault="0096592E" w:rsidP="00055E4D">
            <w:pPr>
              <w:jc w:val="center"/>
              <w:rPr>
                <w:rFonts w:ascii="Times New Roman" w:hAnsi="Times New Roman"/>
                <w:b/>
                <w:sz w:val="18"/>
                <w:szCs w:val="18"/>
              </w:rPr>
            </w:pPr>
            <w:r>
              <w:rPr>
                <w:rFonts w:ascii="Times New Roman" w:hAnsi="Times New Roman"/>
                <w:b/>
                <w:sz w:val="18"/>
                <w:szCs w:val="18"/>
              </w:rPr>
              <w:t xml:space="preserve">Strutture Dirigenziali coinvolte </w:t>
            </w:r>
          </w:p>
        </w:tc>
        <w:tc>
          <w:tcPr>
            <w:tcW w:w="1160" w:type="pct"/>
          </w:tcPr>
          <w:p w:rsidR="00055E4D" w:rsidRPr="00E63330" w:rsidRDefault="0096592E" w:rsidP="00055E4D">
            <w:pPr>
              <w:spacing w:after="0"/>
              <w:jc w:val="center"/>
              <w:rPr>
                <w:rFonts w:ascii="Times New Roman" w:hAnsi="Times New Roman"/>
                <w:b/>
                <w:sz w:val="18"/>
                <w:szCs w:val="18"/>
              </w:rPr>
            </w:pPr>
            <w:r>
              <w:rPr>
                <w:rFonts w:ascii="Times New Roman" w:hAnsi="Times New Roman"/>
                <w:b/>
                <w:sz w:val="18"/>
                <w:szCs w:val="18"/>
              </w:rPr>
              <w:t xml:space="preserve">Ambiti di performance </w:t>
            </w:r>
          </w:p>
          <w:p w:rsidR="00055E4D" w:rsidRPr="00E63330" w:rsidRDefault="0096592E" w:rsidP="00055E4D">
            <w:pPr>
              <w:spacing w:after="0"/>
              <w:jc w:val="center"/>
              <w:rPr>
                <w:rFonts w:ascii="Times New Roman" w:hAnsi="Times New Roman"/>
                <w:b/>
                <w:sz w:val="18"/>
                <w:szCs w:val="18"/>
              </w:rPr>
            </w:pPr>
            <w:r>
              <w:rPr>
                <w:rFonts w:ascii="Times New Roman" w:hAnsi="Times New Roman"/>
                <w:b/>
                <w:sz w:val="18"/>
                <w:szCs w:val="18"/>
              </w:rPr>
              <w:t>(art. 8 D.lgs. n. 150/2009)</w:t>
            </w:r>
          </w:p>
        </w:tc>
        <w:tc>
          <w:tcPr>
            <w:tcW w:w="1365" w:type="pct"/>
            <w:vAlign w:val="center"/>
          </w:tcPr>
          <w:p w:rsidR="00055E4D" w:rsidRPr="00E63330" w:rsidRDefault="0096592E" w:rsidP="00055E4D">
            <w:pPr>
              <w:jc w:val="center"/>
              <w:rPr>
                <w:rFonts w:ascii="Times New Roman" w:hAnsi="Times New Roman"/>
                <w:b/>
                <w:sz w:val="18"/>
                <w:szCs w:val="18"/>
              </w:rPr>
            </w:pPr>
            <w:r>
              <w:rPr>
                <w:rFonts w:ascii="Times New Roman" w:hAnsi="Times New Roman"/>
                <w:b/>
                <w:sz w:val="18"/>
                <w:szCs w:val="18"/>
              </w:rPr>
              <w:t>Indicatori/Target/Fonti</w:t>
            </w:r>
          </w:p>
        </w:tc>
      </w:tr>
      <w:tr w:rsidR="00417BBC" w:rsidRPr="00E63330" w:rsidTr="00417BBC">
        <w:trPr>
          <w:trHeight w:val="6451"/>
        </w:trPr>
        <w:tc>
          <w:tcPr>
            <w:tcW w:w="842" w:type="pct"/>
            <w:vMerge w:val="restart"/>
            <w:vAlign w:val="center"/>
          </w:tcPr>
          <w:p w:rsidR="00417BBC" w:rsidRPr="00E63330" w:rsidRDefault="00417BBC" w:rsidP="00055E4D">
            <w:pPr>
              <w:pStyle w:val="Corpotesto"/>
              <w:jc w:val="center"/>
              <w:rPr>
                <w:rFonts w:ascii="Times New Roman" w:hAnsi="Times New Roman"/>
                <w:sz w:val="18"/>
                <w:szCs w:val="18"/>
              </w:rPr>
            </w:pPr>
            <w:r>
              <w:rPr>
                <w:rFonts w:ascii="Times New Roman" w:hAnsi="Times New Roman"/>
                <w:sz w:val="18"/>
                <w:szCs w:val="18"/>
              </w:rPr>
              <w:t>1.</w:t>
            </w:r>
          </w:p>
          <w:p w:rsidR="00417BBC" w:rsidRPr="00E63330" w:rsidRDefault="00417BBC" w:rsidP="00055E4D">
            <w:pPr>
              <w:pStyle w:val="Corpotesto"/>
              <w:jc w:val="center"/>
              <w:rPr>
                <w:rFonts w:ascii="Times New Roman" w:hAnsi="Times New Roman"/>
                <w:sz w:val="18"/>
                <w:szCs w:val="18"/>
              </w:rPr>
            </w:pPr>
            <w:r>
              <w:rPr>
                <w:rFonts w:ascii="Times New Roman" w:hAnsi="Times New Roman"/>
                <w:sz w:val="18"/>
                <w:szCs w:val="18"/>
              </w:rPr>
              <w:t>Mantenimento dei criteri di riconoscimento quale Organismo Pagatore, ai sensi del Reg. (CE) n. 907/14</w:t>
            </w:r>
          </w:p>
          <w:p w:rsidR="00417BBC" w:rsidRPr="00E63330" w:rsidRDefault="00417BBC" w:rsidP="00055E4D">
            <w:pPr>
              <w:pStyle w:val="Corpotesto"/>
              <w:jc w:val="center"/>
              <w:rPr>
                <w:rFonts w:ascii="Times New Roman" w:hAnsi="Times New Roman"/>
                <w:sz w:val="18"/>
                <w:szCs w:val="18"/>
              </w:rPr>
            </w:pPr>
            <w:r>
              <w:rPr>
                <w:rFonts w:ascii="Times New Roman" w:hAnsi="Times New Roman"/>
                <w:sz w:val="18"/>
                <w:szCs w:val="18"/>
              </w:rPr>
              <w:t>(peso: 40%)</w:t>
            </w:r>
          </w:p>
          <w:p w:rsidR="00417BBC" w:rsidRPr="00E63330" w:rsidRDefault="00417BBC" w:rsidP="00055E4D">
            <w:pPr>
              <w:jc w:val="center"/>
              <w:rPr>
                <w:rFonts w:ascii="Times New Roman" w:hAnsi="Times New Roman"/>
                <w:b/>
                <w:sz w:val="18"/>
                <w:szCs w:val="18"/>
              </w:rPr>
            </w:pPr>
          </w:p>
        </w:tc>
        <w:tc>
          <w:tcPr>
            <w:tcW w:w="853" w:type="pct"/>
            <w:vAlign w:val="center"/>
          </w:tcPr>
          <w:p w:rsidR="00417BBC" w:rsidRPr="00E63330" w:rsidRDefault="00417BBC" w:rsidP="00055E4D">
            <w:pPr>
              <w:jc w:val="center"/>
              <w:rPr>
                <w:rFonts w:ascii="Times New Roman" w:hAnsi="Times New Roman"/>
                <w:sz w:val="18"/>
                <w:szCs w:val="18"/>
              </w:rPr>
            </w:pPr>
            <w:r>
              <w:rPr>
                <w:rFonts w:ascii="Times New Roman" w:hAnsi="Times New Roman"/>
                <w:sz w:val="18"/>
                <w:szCs w:val="18"/>
              </w:rPr>
              <w:t>1.1</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Garantire un adeguato ambiente interno, anche con riferimento al corretto funzionamento dell’Agenzia</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(peso: 20%)</w:t>
            </w:r>
          </w:p>
          <w:p w:rsidR="00417BBC" w:rsidRPr="00E63330" w:rsidRDefault="00417BBC" w:rsidP="00055E4D">
            <w:pPr>
              <w:jc w:val="center"/>
              <w:rPr>
                <w:rFonts w:ascii="Times New Roman" w:hAnsi="Times New Roman"/>
                <w:sz w:val="18"/>
                <w:szCs w:val="18"/>
              </w:rPr>
            </w:pPr>
          </w:p>
        </w:tc>
        <w:tc>
          <w:tcPr>
            <w:tcW w:w="780" w:type="pct"/>
            <w:vAlign w:val="center"/>
          </w:tcPr>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Autorizzazione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Esecuzione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Contabilizzazione</w:t>
            </w:r>
          </w:p>
          <w:p w:rsidR="00417BBC" w:rsidRPr="00E63330" w:rsidRDefault="00417BBC" w:rsidP="00055E4D">
            <w:pPr>
              <w:spacing w:after="120"/>
              <w:jc w:val="center"/>
              <w:rPr>
                <w:rFonts w:ascii="Times New Roman" w:hAnsi="Times New Roman"/>
                <w:sz w:val="18"/>
                <w:szCs w:val="18"/>
              </w:rPr>
            </w:pP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d)</w:t>
            </w:r>
            <w:r>
              <w:rPr>
                <w:rFonts w:ascii="Times New Roman" w:hAnsi="Times New Roman"/>
                <w:sz w:val="18"/>
                <w:szCs w:val="18"/>
              </w:rPr>
              <w:t>: L’Agenzia, in forza della sua “</w:t>
            </w:r>
            <w:proofErr w:type="spellStart"/>
            <w:r>
              <w:rPr>
                <w:rFonts w:ascii="Times New Roman" w:hAnsi="Times New Roman"/>
                <w:sz w:val="18"/>
                <w:szCs w:val="18"/>
              </w:rPr>
              <w:t>mission</w:t>
            </w:r>
            <w:proofErr w:type="spellEnd"/>
            <w:r>
              <w:rPr>
                <w:rFonts w:ascii="Times New Roman" w:hAnsi="Times New Roman"/>
                <w:sz w:val="18"/>
                <w:szCs w:val="18"/>
              </w:rPr>
              <w:t>” istituzionale, persegue costantemente la modernizzazione e il miglioramento qualitativo dell'organizzazione e delle competenze professionali, attraverso la previsione di appositi obiettivi (sia strategici che operativi) e relativi indicatori, particolarmente incentrati su tali aspetti.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In tal senso,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e)</w:t>
            </w:r>
            <w:r>
              <w:rPr>
                <w:rFonts w:ascii="Times New Roman" w:hAnsi="Times New Roman"/>
                <w:sz w:val="18"/>
                <w:szCs w:val="18"/>
              </w:rPr>
              <w:t xml:space="preserve">: La struttura organizzativa dell’ARCEA prevede, al suo interno, un Ufficio dedicato alla gestione dei rapporti con i terzi (URP) che, come si vedrà in seguito, funge sia da primo punto di contatto con l’Agenzia per utenti e soggetti interessati, che da struttura di consulenza tecnico-amministrativa per la risoluzione di una vasta casistica di problematiche.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Ciò consente una costante interazione e partecipazione dei destinatari dei servizi i </w:t>
            </w:r>
            <w:r>
              <w:rPr>
                <w:rFonts w:ascii="Times New Roman" w:hAnsi="Times New Roman"/>
                <w:sz w:val="18"/>
                <w:szCs w:val="18"/>
              </w:rPr>
              <w:lastRenderedPageBreak/>
              <w:t>quali possono contare su un supporto qualificato, presente direttamente sul territorio.</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f)</w:t>
            </w:r>
            <w:r>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xml:space="preserve">: Sono estrinsecati e riportati nella colonna dedicata, gli indicatori di performance connessi alla qualità ed alla </w:t>
            </w:r>
            <w:r>
              <w:rPr>
                <w:rFonts w:ascii="Times New Roman" w:hAnsi="Times New Roman"/>
                <w:sz w:val="18"/>
                <w:szCs w:val="18"/>
              </w:rPr>
              <w:lastRenderedPageBreak/>
              <w:t>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tc>
        <w:tc>
          <w:tcPr>
            <w:tcW w:w="1365" w:type="pct"/>
            <w:vAlign w:val="center"/>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lastRenderedPageBreak/>
              <w:t>I1.1.1: Livello di maturità complessivo dell’ARCEA, riscontrato dall’Organismo di Certificazione (&gt;=3) (</w:t>
            </w:r>
            <w:r>
              <w:rPr>
                <w:rFonts w:ascii="Times New Roman" w:hAnsi="Times New Roman"/>
                <w:i/>
                <w:sz w:val="18"/>
                <w:szCs w:val="18"/>
              </w:rPr>
              <w:t>Riscontrabile nella relazione prodotta dall’Organismo di Certificazione dei conti</w:t>
            </w:r>
            <w:r>
              <w:rPr>
                <w:rFonts w:ascii="Times New Roman" w:hAnsi="Times New Roman"/>
                <w:sz w:val="18"/>
                <w:szCs w:val="18"/>
              </w:rPr>
              <w:t>) (</w:t>
            </w:r>
            <w:r>
              <w:rPr>
                <w:rFonts w:ascii="Times New Roman" w:hAnsi="Times New Roman"/>
                <w:b/>
                <w:sz w:val="18"/>
                <w:szCs w:val="18"/>
                <w:u w:val="single"/>
              </w:rPr>
              <w:t>peso 60%</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I.1.1.2: Eventi formativi rivolti a tutto il personale (&gt;=3, ossia almeno 3 eventi formativi per ogni dipendente) (Riscontrabile dai fogli presenza/attestazioni detenuti dall’Ufficio personale).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w:t>
            </w:r>
            <w:r>
              <w:rPr>
                <w:rFonts w:ascii="Times New Roman" w:hAnsi="Times New Roman"/>
                <w:b/>
                <w:sz w:val="18"/>
                <w:szCs w:val="18"/>
                <w:u w:val="single"/>
              </w:rPr>
              <w:t>peso 40%</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i/>
                <w:sz w:val="18"/>
                <w:szCs w:val="18"/>
              </w:rPr>
            </w:pPr>
            <w:r>
              <w:rPr>
                <w:rFonts w:ascii="Times New Roman" w:hAnsi="Times New Roman"/>
                <w:sz w:val="18"/>
                <w:szCs w:val="18"/>
              </w:rPr>
              <w:t xml:space="preserve">Nota: Per le modalità di calcolo dell’indicatore I.1.1.2 si rimanda alla sezione “Indicatori degli Obiettivi Operativi” nella prima sezione del Piano.  </w:t>
            </w:r>
          </w:p>
          <w:p w:rsidR="00417BBC" w:rsidRPr="00E63330" w:rsidRDefault="00417BBC" w:rsidP="00055E4D">
            <w:pPr>
              <w:tabs>
                <w:tab w:val="left" w:pos="287"/>
              </w:tabs>
              <w:spacing w:after="120"/>
              <w:jc w:val="both"/>
              <w:rPr>
                <w:rFonts w:ascii="Times New Roman" w:hAnsi="Times New Roman"/>
                <w:sz w:val="18"/>
                <w:szCs w:val="18"/>
              </w:rPr>
            </w:pPr>
          </w:p>
        </w:tc>
      </w:tr>
      <w:tr w:rsidR="00417BBC" w:rsidRPr="00E63330" w:rsidTr="00417BBC">
        <w:tc>
          <w:tcPr>
            <w:tcW w:w="842" w:type="pct"/>
            <w:vMerge/>
          </w:tcPr>
          <w:p w:rsidR="00417BBC" w:rsidRPr="00E63330" w:rsidRDefault="00417BBC" w:rsidP="00055E4D">
            <w:pPr>
              <w:jc w:val="center"/>
              <w:rPr>
                <w:rFonts w:ascii="Times New Roman" w:hAnsi="Times New Roman"/>
                <w:b/>
                <w:sz w:val="18"/>
                <w:szCs w:val="18"/>
              </w:rPr>
            </w:pPr>
          </w:p>
        </w:tc>
        <w:tc>
          <w:tcPr>
            <w:tcW w:w="853" w:type="pct"/>
          </w:tcPr>
          <w:p w:rsidR="00417BBC" w:rsidRPr="00E63330" w:rsidRDefault="00417BBC" w:rsidP="00055E4D">
            <w:pPr>
              <w:jc w:val="center"/>
              <w:rPr>
                <w:rFonts w:ascii="Times New Roman" w:hAnsi="Times New Roman"/>
                <w:sz w:val="18"/>
                <w:szCs w:val="18"/>
              </w:rPr>
            </w:pPr>
            <w:r>
              <w:rPr>
                <w:rFonts w:ascii="Times New Roman" w:hAnsi="Times New Roman"/>
                <w:sz w:val="18"/>
                <w:szCs w:val="18"/>
              </w:rPr>
              <w:t xml:space="preserve">1.2 </w:t>
            </w:r>
          </w:p>
          <w:p w:rsidR="00417BBC" w:rsidRDefault="00417BBC" w:rsidP="00CB25F0">
            <w:pPr>
              <w:jc w:val="center"/>
              <w:rPr>
                <w:rFonts w:ascii="Times New Roman" w:hAnsi="Times New Roman"/>
                <w:sz w:val="18"/>
                <w:szCs w:val="18"/>
              </w:rPr>
            </w:pPr>
            <w:r>
              <w:rPr>
                <w:rFonts w:ascii="Times New Roman" w:hAnsi="Times New Roman"/>
                <w:sz w:val="18"/>
                <w:szCs w:val="18"/>
              </w:rPr>
              <w:t>Garantire la salute finanziaria dell’Agenzia</w:t>
            </w:r>
          </w:p>
          <w:p w:rsidR="00417BBC" w:rsidRPr="00E63330" w:rsidRDefault="00417BBC" w:rsidP="00CB25F0">
            <w:pPr>
              <w:jc w:val="center"/>
              <w:rPr>
                <w:rFonts w:ascii="Times New Roman" w:hAnsi="Times New Roman"/>
                <w:sz w:val="18"/>
                <w:szCs w:val="18"/>
              </w:rPr>
            </w:pPr>
            <w:r>
              <w:rPr>
                <w:rFonts w:ascii="Times New Roman" w:hAnsi="Times New Roman"/>
                <w:sz w:val="18"/>
                <w:szCs w:val="18"/>
              </w:rPr>
              <w:t>(peso: 15%)</w:t>
            </w:r>
          </w:p>
        </w:tc>
        <w:tc>
          <w:tcPr>
            <w:tcW w:w="780" w:type="pct"/>
          </w:tcPr>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d)</w:t>
            </w:r>
            <w:r>
              <w:rPr>
                <w:rFonts w:ascii="Times New Roman" w:hAnsi="Times New Roman"/>
                <w:sz w:val="18"/>
                <w:szCs w:val="18"/>
              </w:rPr>
              <w:t>: L’Agenzia, in forza della sua “</w:t>
            </w:r>
            <w:proofErr w:type="spellStart"/>
            <w:r>
              <w:rPr>
                <w:rFonts w:ascii="Times New Roman" w:hAnsi="Times New Roman"/>
                <w:sz w:val="18"/>
                <w:szCs w:val="18"/>
              </w:rPr>
              <w:t>mission</w:t>
            </w:r>
            <w:proofErr w:type="spellEnd"/>
            <w:r>
              <w:rPr>
                <w:rFonts w:ascii="Times New Roman" w:hAnsi="Times New Roman"/>
                <w:sz w:val="18"/>
                <w:szCs w:val="18"/>
              </w:rPr>
              <w:t>” istituzionale, persegue costantemente la modernizzazione e il miglioramento qualitativo dell'organizzazione e delle competenze professionali, attraverso la previsione di appositi obiettivi (sia strategici che operativi) e relativi indicatori, particolarmente incentrati su tali aspetti.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In tal senso,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e)</w:t>
            </w:r>
            <w:r>
              <w:rPr>
                <w:rFonts w:ascii="Times New Roman" w:hAnsi="Times New Roman"/>
                <w:sz w:val="18"/>
                <w:szCs w:val="18"/>
              </w:rPr>
              <w:t xml:space="preserve">: La struttura organizzativa dell’ARCEA prevede, al suo interno, un Ufficio dedicato alla gestione dei rapporti con i </w:t>
            </w:r>
            <w:r>
              <w:rPr>
                <w:rFonts w:ascii="Times New Roman" w:hAnsi="Times New Roman"/>
                <w:sz w:val="18"/>
                <w:szCs w:val="18"/>
              </w:rPr>
              <w:lastRenderedPageBreak/>
              <w:t xml:space="preserve">terzi (URP) che, come si vedrà in seguito, funge sia da primo punto di contatto con l’Agenzia per utenti e soggetti interessati, che da struttura di consulenza tecnico-amministrativa per la risoluzione di una vasta casistica di problematiche.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Ciò consente una costante interazione e partecipazione dei destinatari dei servizi i quali possono contare su un supporto qualificato, presente direttamente sul territorio.</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f)</w:t>
            </w:r>
            <w:r>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Allo stesso modo, la dotazione organica di gran lunga inferiore rispetto a </w:t>
            </w:r>
            <w:r>
              <w:rPr>
                <w:rFonts w:ascii="Times New Roman" w:hAnsi="Times New Roman"/>
                <w:sz w:val="18"/>
                <w:szCs w:val="18"/>
              </w:rPr>
              <w:lastRenderedPageBreak/>
              <w:t>quella prevista, richiede una naturale ottimizzazione dei processi rispetto alle risorse umane da destinarvi ed al carico di lavoro esistente.</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b/>
                <w:sz w:val="18"/>
                <w:szCs w:val="18"/>
                <w:u w:val="single"/>
              </w:rPr>
            </w:pPr>
          </w:p>
        </w:tc>
        <w:tc>
          <w:tcPr>
            <w:tcW w:w="1365"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lastRenderedPageBreak/>
              <w:t xml:space="preserve">I1.2.1:  Incidenza spesa personale sulla spesa corrente (Indicatore di equilibrio economico-finanziario) (&lt;50%) </w:t>
            </w:r>
            <w:r>
              <w:rPr>
                <w:rFonts w:ascii="Times New Roman" w:hAnsi="Times New Roman"/>
                <w:i/>
                <w:sz w:val="18"/>
                <w:szCs w:val="18"/>
              </w:rPr>
              <w:t>(Fonte: Piano degli indicatori e dei risultati attesi di bilancio)</w:t>
            </w:r>
            <w:r>
              <w:rPr>
                <w:rFonts w:ascii="Times New Roman" w:hAnsi="Times New Roman"/>
                <w:sz w:val="18"/>
                <w:szCs w:val="18"/>
              </w:rPr>
              <w:t xml:space="preserve"> (</w:t>
            </w:r>
            <w:r>
              <w:rPr>
                <w:rFonts w:ascii="Times New Roman" w:hAnsi="Times New Roman"/>
                <w:b/>
                <w:sz w:val="18"/>
                <w:szCs w:val="18"/>
                <w:u w:val="single"/>
              </w:rPr>
              <w:t>peso 25%</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i/>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I1.2.2: Indicatore di realizzazione delle previsioni di competenza concernenti le entrate correnti (&lt;= 80%) </w:t>
            </w:r>
            <w:r>
              <w:rPr>
                <w:rFonts w:ascii="Times New Roman" w:hAnsi="Times New Roman"/>
                <w:i/>
                <w:sz w:val="18"/>
                <w:szCs w:val="18"/>
              </w:rPr>
              <w:t>(Fonte: Piano degli indicatori e dei risultati attesi di bilancio)</w:t>
            </w:r>
            <w:r>
              <w:rPr>
                <w:rFonts w:ascii="Times New Roman" w:hAnsi="Times New Roman"/>
                <w:sz w:val="18"/>
                <w:szCs w:val="18"/>
              </w:rPr>
              <w:t xml:space="preserve"> (</w:t>
            </w:r>
            <w:r>
              <w:rPr>
                <w:rFonts w:ascii="Times New Roman" w:hAnsi="Times New Roman"/>
                <w:b/>
                <w:sz w:val="18"/>
                <w:szCs w:val="18"/>
                <w:u w:val="single"/>
              </w:rPr>
              <w:t>peso 25%</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i/>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I1.2.3 Incidenza spese rigide (disavanzo, personale e debito) su entrate correnti (&lt; 50%) </w:t>
            </w:r>
            <w:r>
              <w:rPr>
                <w:rFonts w:ascii="Times New Roman" w:hAnsi="Times New Roman"/>
                <w:i/>
                <w:sz w:val="18"/>
                <w:szCs w:val="18"/>
              </w:rPr>
              <w:t>(Fonte: Piano degli indicatori e dei risultati attesi di bilancio)</w:t>
            </w:r>
            <w:r>
              <w:rPr>
                <w:rFonts w:ascii="Times New Roman" w:hAnsi="Times New Roman"/>
                <w:sz w:val="18"/>
                <w:szCs w:val="18"/>
              </w:rPr>
              <w:t xml:space="preserve"> (</w:t>
            </w:r>
            <w:r>
              <w:rPr>
                <w:rFonts w:ascii="Times New Roman" w:hAnsi="Times New Roman"/>
                <w:b/>
                <w:sz w:val="18"/>
                <w:szCs w:val="18"/>
                <w:u w:val="single"/>
              </w:rPr>
              <w:t>peso 25%</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i/>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I.1.2.4 Indicatore di smaltimento debiti commerciali Stanziamento di cassa (&lt;100%) </w:t>
            </w:r>
            <w:r>
              <w:rPr>
                <w:rFonts w:ascii="Times New Roman" w:hAnsi="Times New Roman"/>
                <w:i/>
                <w:sz w:val="18"/>
                <w:szCs w:val="18"/>
              </w:rPr>
              <w:t>(Fonte: Piano degli indicatori e dei risultati attesi di bilancio)</w:t>
            </w:r>
            <w:r>
              <w:rPr>
                <w:rFonts w:ascii="Times New Roman" w:hAnsi="Times New Roman"/>
                <w:sz w:val="18"/>
                <w:szCs w:val="18"/>
              </w:rPr>
              <w:t xml:space="preserve"> (</w:t>
            </w:r>
            <w:r>
              <w:rPr>
                <w:rFonts w:ascii="Times New Roman" w:hAnsi="Times New Roman"/>
                <w:b/>
                <w:sz w:val="18"/>
                <w:szCs w:val="18"/>
                <w:u w:val="single"/>
              </w:rPr>
              <w:t>peso 25%</w:t>
            </w:r>
            <w:r>
              <w:rPr>
                <w:rFonts w:ascii="Times New Roman" w:hAnsi="Times New Roman"/>
                <w:sz w:val="18"/>
                <w:szCs w:val="18"/>
              </w:rPr>
              <w:t>) ;</w:t>
            </w:r>
          </w:p>
          <w:p w:rsidR="00417BBC" w:rsidRPr="00E63330" w:rsidRDefault="00417BBC" w:rsidP="00055E4D">
            <w:pPr>
              <w:tabs>
                <w:tab w:val="left" w:pos="287"/>
              </w:tabs>
              <w:spacing w:after="120"/>
              <w:jc w:val="both"/>
              <w:rPr>
                <w:rFonts w:ascii="Times New Roman" w:hAnsi="Times New Roman"/>
                <w:sz w:val="18"/>
                <w:szCs w:val="18"/>
              </w:rPr>
            </w:pPr>
          </w:p>
        </w:tc>
      </w:tr>
      <w:tr w:rsidR="00417BBC" w:rsidRPr="00E63330" w:rsidTr="00417BBC">
        <w:tc>
          <w:tcPr>
            <w:tcW w:w="842" w:type="pct"/>
            <w:vMerge/>
          </w:tcPr>
          <w:p w:rsidR="00417BBC" w:rsidRPr="00E63330" w:rsidRDefault="00417BBC" w:rsidP="00055E4D">
            <w:pPr>
              <w:jc w:val="center"/>
              <w:rPr>
                <w:rFonts w:ascii="Times New Roman" w:hAnsi="Times New Roman"/>
                <w:b/>
                <w:sz w:val="18"/>
                <w:szCs w:val="18"/>
              </w:rPr>
            </w:pPr>
          </w:p>
        </w:tc>
        <w:tc>
          <w:tcPr>
            <w:tcW w:w="853" w:type="pct"/>
          </w:tcPr>
          <w:p w:rsidR="00417BBC" w:rsidRDefault="00417BBC" w:rsidP="00055E4D">
            <w:pPr>
              <w:jc w:val="center"/>
              <w:rPr>
                <w:rFonts w:ascii="Times New Roman" w:hAnsi="Times New Roman"/>
                <w:sz w:val="18"/>
                <w:szCs w:val="18"/>
              </w:rPr>
            </w:pPr>
          </w:p>
          <w:p w:rsidR="00417BBC" w:rsidRPr="00E63330" w:rsidRDefault="00417BBC" w:rsidP="00055E4D">
            <w:pPr>
              <w:jc w:val="center"/>
              <w:rPr>
                <w:rFonts w:ascii="Times New Roman" w:hAnsi="Times New Roman"/>
                <w:sz w:val="18"/>
                <w:szCs w:val="18"/>
              </w:rPr>
            </w:pPr>
            <w:r>
              <w:rPr>
                <w:rFonts w:ascii="Times New Roman" w:hAnsi="Times New Roman"/>
                <w:sz w:val="18"/>
                <w:szCs w:val="18"/>
              </w:rPr>
              <w:t>1.3</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Garantire un’adeguata attività di controllo nel rispetto della normativa di riferimento</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(peso: 20%)</w:t>
            </w:r>
          </w:p>
        </w:tc>
        <w:tc>
          <w:tcPr>
            <w:tcW w:w="780" w:type="pct"/>
          </w:tcPr>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Default="00417BBC" w:rsidP="00055E4D">
            <w:pPr>
              <w:spacing w:after="120"/>
              <w:jc w:val="center"/>
              <w:rPr>
                <w:rFonts w:ascii="Times New Roman" w:hAnsi="Times New Roman"/>
                <w:sz w:val="18"/>
                <w:szCs w:val="18"/>
              </w:rPr>
            </w:pPr>
            <w:r>
              <w:rPr>
                <w:rFonts w:ascii="Times New Roman" w:hAnsi="Times New Roman"/>
                <w:sz w:val="18"/>
                <w:szCs w:val="18"/>
              </w:rPr>
              <w:t>Esecuzione Pagamenti</w:t>
            </w:r>
          </w:p>
          <w:p w:rsidR="00417BBC" w:rsidRDefault="00417BBC" w:rsidP="00055E4D">
            <w:pPr>
              <w:spacing w:after="120"/>
              <w:jc w:val="center"/>
              <w:rPr>
                <w:rFonts w:ascii="Times New Roman" w:hAnsi="Times New Roman"/>
                <w:sz w:val="18"/>
                <w:szCs w:val="18"/>
              </w:rPr>
            </w:pPr>
            <w:r>
              <w:rPr>
                <w:rFonts w:ascii="Times New Roman" w:hAnsi="Times New Roman"/>
                <w:sz w:val="18"/>
                <w:szCs w:val="18"/>
              </w:rPr>
              <w:t xml:space="preserve">Autorizzazione </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Contabilizzazione</w:t>
            </w:r>
          </w:p>
          <w:p w:rsidR="00417BBC" w:rsidRPr="00E63330" w:rsidRDefault="00417BBC" w:rsidP="00055E4D">
            <w:pPr>
              <w:spacing w:after="120"/>
              <w:jc w:val="center"/>
              <w:rPr>
                <w:rFonts w:ascii="Times New Roman" w:hAnsi="Times New Roman"/>
                <w:sz w:val="18"/>
                <w:szCs w:val="18"/>
              </w:rPr>
            </w:pP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b)</w:t>
            </w:r>
            <w:r>
              <w:rPr>
                <w:rFonts w:ascii="Times New Roman" w:hAnsi="Times New Roman"/>
                <w:sz w:val="18"/>
                <w:szCs w:val="18"/>
              </w:rPr>
              <w:t>: L’ARCEA, in virtù delle proprie peculiarità organizzative, procede all’attuazione di piani e programmi che traggono origine dalla normativa comunitaria (ad es, Piano dei controlli, Piano di Audit, ecc.).</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La misurazione dell’effettivo grado di esecuzione dei medesimi avviene tramite indicatori di riferimento rinvenibili nella colonna dedicata.</w:t>
            </w:r>
          </w:p>
          <w:p w:rsidR="00417BBC" w:rsidRPr="00E63330" w:rsidRDefault="00417BBC" w:rsidP="00055E4D">
            <w:pPr>
              <w:tabs>
                <w:tab w:val="left" w:pos="287"/>
              </w:tabs>
              <w:spacing w:after="120"/>
              <w:jc w:val="both"/>
              <w:rPr>
                <w:rFonts w:ascii="Times New Roman" w:hAnsi="Times New Roman"/>
                <w:sz w:val="6"/>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w:t>
            </w:r>
            <w:r>
              <w:rPr>
                <w:rFonts w:ascii="Times New Roman" w:hAnsi="Times New Roman"/>
                <w:sz w:val="18"/>
                <w:szCs w:val="18"/>
              </w:rPr>
              <w:lastRenderedPageBreak/>
              <w:t xml:space="preserve">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p>
        </w:tc>
        <w:tc>
          <w:tcPr>
            <w:tcW w:w="1365" w:type="pct"/>
          </w:tcPr>
          <w:p w:rsidR="00417BBC" w:rsidRPr="00E63330" w:rsidRDefault="00417BBC" w:rsidP="00055E4D">
            <w:pPr>
              <w:tabs>
                <w:tab w:val="left" w:pos="287"/>
              </w:tabs>
              <w:spacing w:after="120"/>
              <w:jc w:val="both"/>
              <w:rPr>
                <w:rFonts w:ascii="Times New Roman" w:hAnsi="Times New Roman"/>
                <w:b/>
                <w:sz w:val="18"/>
                <w:szCs w:val="18"/>
              </w:rPr>
            </w:pPr>
            <w:r>
              <w:rPr>
                <w:rFonts w:ascii="Times New Roman" w:hAnsi="Times New Roman"/>
                <w:sz w:val="18"/>
                <w:szCs w:val="18"/>
              </w:rPr>
              <w:lastRenderedPageBreak/>
              <w:t xml:space="preserve">I.1.3.1 Numero di Piani d’azione, definiti in fase di audit, implementati dalle Funzioni/OODD entro il termine indicato (&gt;=80%) (Riscontrabili dalle Relazioni di audit del Servizio Contr. </w:t>
            </w:r>
            <w:proofErr w:type="spellStart"/>
            <w:r>
              <w:rPr>
                <w:rFonts w:ascii="Times New Roman" w:hAnsi="Times New Roman"/>
                <w:sz w:val="18"/>
                <w:szCs w:val="18"/>
              </w:rPr>
              <w:t>Int</w:t>
            </w:r>
            <w:proofErr w:type="spellEnd"/>
            <w:r>
              <w:rPr>
                <w:rFonts w:ascii="Times New Roman" w:hAnsi="Times New Roman"/>
                <w:sz w:val="18"/>
                <w:szCs w:val="18"/>
              </w:rPr>
              <w:t>.) (</w:t>
            </w:r>
            <w:r>
              <w:rPr>
                <w:rFonts w:ascii="Times New Roman" w:hAnsi="Times New Roman"/>
                <w:b/>
                <w:sz w:val="18"/>
                <w:szCs w:val="18"/>
                <w:u w:val="single"/>
              </w:rPr>
              <w:t>Peso 20%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autoSpaceDE w:val="0"/>
              <w:autoSpaceDN w:val="0"/>
              <w:adjustRightInd w:val="0"/>
              <w:spacing w:after="0"/>
              <w:jc w:val="both"/>
              <w:rPr>
                <w:rFonts w:ascii="Times New Roman" w:hAnsi="Times New Roman"/>
                <w:sz w:val="18"/>
                <w:szCs w:val="18"/>
              </w:rPr>
            </w:pPr>
            <w:r>
              <w:rPr>
                <w:rFonts w:ascii="Times New Roman" w:hAnsi="Times New Roman"/>
                <w:sz w:val="18"/>
                <w:szCs w:val="18"/>
              </w:rPr>
              <w:t>I.1.3.2 Numero di incontri formativi/informativi con i CAA, l’ordine degli Agronomi e degli agrotecnici (&gt;= 5) (riscontrabili dai verbali redatti dalla Direzione)</w:t>
            </w:r>
          </w:p>
          <w:p w:rsidR="00417BBC" w:rsidRPr="00E63330" w:rsidRDefault="00417BBC" w:rsidP="00055E4D">
            <w:pPr>
              <w:autoSpaceDE w:val="0"/>
              <w:autoSpaceDN w:val="0"/>
              <w:adjustRightInd w:val="0"/>
              <w:spacing w:after="0"/>
              <w:jc w:val="both"/>
              <w:rPr>
                <w:rFonts w:ascii="Times New Roman" w:hAnsi="Times New Roman"/>
                <w:sz w:val="18"/>
                <w:szCs w:val="18"/>
              </w:rPr>
            </w:pPr>
            <w:r>
              <w:rPr>
                <w:rFonts w:ascii="Times New Roman" w:hAnsi="Times New Roman"/>
                <w:sz w:val="18"/>
                <w:szCs w:val="18"/>
              </w:rPr>
              <w:t>(</w:t>
            </w:r>
            <w:r>
              <w:rPr>
                <w:rFonts w:ascii="Times New Roman" w:hAnsi="Times New Roman"/>
                <w:b/>
                <w:sz w:val="18"/>
                <w:szCs w:val="18"/>
                <w:u w:val="single"/>
              </w:rPr>
              <w:t>Peso 10%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I.1.3.3 Riduzione del tasso d’errore presente nelle statistiche di controllo relative al FEASR SIGC </w:t>
            </w:r>
            <w:r w:rsidRPr="003C3367">
              <w:rPr>
                <w:rFonts w:ascii="Times New Roman" w:hAnsi="Times New Roman"/>
                <w:sz w:val="18"/>
                <w:szCs w:val="18"/>
              </w:rPr>
              <w:t>(&lt;= 8%)</w:t>
            </w:r>
            <w:r>
              <w:rPr>
                <w:rFonts w:ascii="Times New Roman" w:hAnsi="Times New Roman"/>
                <w:sz w:val="18"/>
                <w:szCs w:val="18"/>
              </w:rPr>
              <w:t xml:space="preserve"> (fonte statistiche di controllo per come comunicate alla Commissione Europea tramite il canale di comunicazione ufficiale) (</w:t>
            </w:r>
            <w:r>
              <w:rPr>
                <w:rFonts w:ascii="Times New Roman" w:hAnsi="Times New Roman"/>
                <w:b/>
                <w:sz w:val="18"/>
                <w:szCs w:val="18"/>
                <w:u w:val="single"/>
              </w:rPr>
              <w:t>Peso 35%</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I.1.3.4 Riduzione del tasso d’errore presente nelle statistiche di controllo relative al FEASR </w:t>
            </w:r>
            <w:r>
              <w:rPr>
                <w:rFonts w:ascii="Times New Roman" w:hAnsi="Times New Roman"/>
                <w:sz w:val="18"/>
                <w:szCs w:val="18"/>
              </w:rPr>
              <w:lastRenderedPageBreak/>
              <w:t xml:space="preserve">NON </w:t>
            </w:r>
            <w:r w:rsidRPr="003C3367">
              <w:rPr>
                <w:rFonts w:ascii="Times New Roman" w:hAnsi="Times New Roman"/>
                <w:sz w:val="18"/>
                <w:szCs w:val="18"/>
              </w:rPr>
              <w:t xml:space="preserve">SIGC (&lt;= </w:t>
            </w:r>
            <w:r w:rsidR="003C3367">
              <w:rPr>
                <w:rFonts w:ascii="Times New Roman" w:hAnsi="Times New Roman"/>
                <w:sz w:val="18"/>
                <w:szCs w:val="18"/>
              </w:rPr>
              <w:t>3</w:t>
            </w:r>
            <w:r w:rsidRPr="003C3367">
              <w:rPr>
                <w:rFonts w:ascii="Times New Roman" w:hAnsi="Times New Roman"/>
                <w:sz w:val="18"/>
                <w:szCs w:val="18"/>
              </w:rPr>
              <w:t>)</w:t>
            </w:r>
            <w:r>
              <w:rPr>
                <w:rFonts w:ascii="Times New Roman" w:hAnsi="Times New Roman"/>
                <w:sz w:val="18"/>
                <w:szCs w:val="18"/>
              </w:rPr>
              <w:t xml:space="preserve">  (fonte statistiche di controllo per come comunicate alla Commissione Europea tramite il canale di comunicazione ufficiale) (</w:t>
            </w:r>
            <w:r>
              <w:rPr>
                <w:rFonts w:ascii="Times New Roman" w:hAnsi="Times New Roman"/>
                <w:b/>
                <w:sz w:val="18"/>
                <w:szCs w:val="18"/>
                <w:u w:val="single"/>
              </w:rPr>
              <w:t>Peso 35%</w:t>
            </w:r>
            <w:r>
              <w:rPr>
                <w:rFonts w:ascii="Times New Roman" w:hAnsi="Times New Roman"/>
                <w:sz w:val="18"/>
                <w:szCs w:val="18"/>
              </w:rPr>
              <w:t>)</w:t>
            </w:r>
          </w:p>
          <w:p w:rsidR="00417BBC" w:rsidRPr="00E63330" w:rsidRDefault="00417BBC" w:rsidP="00055E4D">
            <w:pPr>
              <w:tabs>
                <w:tab w:val="left" w:pos="287"/>
              </w:tabs>
              <w:spacing w:after="0" w:line="240" w:lineRule="auto"/>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b/>
                <w:sz w:val="18"/>
                <w:szCs w:val="18"/>
              </w:rPr>
            </w:pPr>
          </w:p>
        </w:tc>
      </w:tr>
      <w:tr w:rsidR="00417BBC" w:rsidRPr="00E63330" w:rsidTr="00417BBC">
        <w:tc>
          <w:tcPr>
            <w:tcW w:w="842" w:type="pct"/>
            <w:vMerge/>
          </w:tcPr>
          <w:p w:rsidR="00417BBC" w:rsidRPr="00E63330" w:rsidRDefault="00417BBC" w:rsidP="00055E4D">
            <w:pPr>
              <w:jc w:val="center"/>
              <w:rPr>
                <w:rFonts w:ascii="Times New Roman" w:hAnsi="Times New Roman"/>
                <w:b/>
                <w:sz w:val="18"/>
                <w:szCs w:val="18"/>
              </w:rPr>
            </w:pPr>
          </w:p>
        </w:tc>
        <w:tc>
          <w:tcPr>
            <w:tcW w:w="853" w:type="pct"/>
          </w:tcPr>
          <w:p w:rsidR="00417BBC" w:rsidRDefault="00417BBC" w:rsidP="00055E4D">
            <w:pPr>
              <w:jc w:val="center"/>
              <w:rPr>
                <w:rFonts w:ascii="Times New Roman" w:hAnsi="Times New Roman"/>
                <w:sz w:val="18"/>
                <w:szCs w:val="18"/>
              </w:rPr>
            </w:pPr>
          </w:p>
          <w:p w:rsidR="00417BBC" w:rsidRPr="00E63330" w:rsidRDefault="00417BBC" w:rsidP="00055E4D">
            <w:pPr>
              <w:jc w:val="center"/>
              <w:rPr>
                <w:rFonts w:ascii="Times New Roman" w:hAnsi="Times New Roman"/>
                <w:sz w:val="18"/>
                <w:szCs w:val="18"/>
              </w:rPr>
            </w:pPr>
            <w:r>
              <w:rPr>
                <w:rFonts w:ascii="Times New Roman" w:hAnsi="Times New Roman"/>
                <w:sz w:val="18"/>
                <w:szCs w:val="18"/>
              </w:rPr>
              <w:t>1.4</w:t>
            </w:r>
          </w:p>
          <w:p w:rsidR="00417BBC" w:rsidRPr="00E63330" w:rsidRDefault="00417BBC" w:rsidP="00055E4D">
            <w:pPr>
              <w:spacing w:after="0"/>
              <w:jc w:val="center"/>
              <w:rPr>
                <w:rFonts w:ascii="Times New Roman" w:hAnsi="Times New Roman"/>
                <w:sz w:val="18"/>
                <w:szCs w:val="18"/>
              </w:rPr>
            </w:pPr>
          </w:p>
          <w:p w:rsidR="00417BBC" w:rsidRPr="00E63330" w:rsidRDefault="00417BBC" w:rsidP="00055E4D">
            <w:pPr>
              <w:spacing w:after="0"/>
              <w:jc w:val="center"/>
              <w:rPr>
                <w:rFonts w:ascii="Times New Roman" w:hAnsi="Times New Roman"/>
                <w:sz w:val="18"/>
                <w:szCs w:val="18"/>
              </w:rPr>
            </w:pPr>
          </w:p>
          <w:p w:rsidR="00417BBC" w:rsidRPr="00E63330" w:rsidRDefault="00417BBC" w:rsidP="00055E4D">
            <w:pPr>
              <w:spacing w:after="0"/>
              <w:jc w:val="center"/>
              <w:rPr>
                <w:rFonts w:ascii="Times New Roman" w:hAnsi="Times New Roman"/>
                <w:sz w:val="18"/>
                <w:szCs w:val="18"/>
              </w:rPr>
            </w:pPr>
            <w:r>
              <w:rPr>
                <w:rFonts w:ascii="Times New Roman" w:hAnsi="Times New Roman"/>
                <w:sz w:val="18"/>
                <w:szCs w:val="18"/>
              </w:rPr>
              <w:t>Garantire l’efficienza e l’adeguatezza dei sistemi di monitoraggio dell’Agenzia, nel rispetto della normativa di riferimento</w:t>
            </w:r>
          </w:p>
          <w:p w:rsidR="00417BBC" w:rsidRPr="00E63330" w:rsidRDefault="00417BBC" w:rsidP="00055E4D">
            <w:pPr>
              <w:spacing w:after="0"/>
              <w:jc w:val="center"/>
              <w:rPr>
                <w:rFonts w:ascii="Times New Roman" w:hAnsi="Times New Roman"/>
                <w:sz w:val="18"/>
                <w:szCs w:val="18"/>
              </w:rPr>
            </w:pPr>
            <w:r>
              <w:rPr>
                <w:rFonts w:ascii="Times New Roman" w:hAnsi="Times New Roman"/>
                <w:sz w:val="18"/>
                <w:szCs w:val="18"/>
              </w:rPr>
              <w:t>(peso: 20%)</w:t>
            </w:r>
          </w:p>
        </w:tc>
        <w:tc>
          <w:tcPr>
            <w:tcW w:w="780" w:type="pct"/>
          </w:tcPr>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A06362">
            <w:pPr>
              <w:spacing w:after="120"/>
              <w:jc w:val="center"/>
              <w:rPr>
                <w:rFonts w:ascii="Times New Roman" w:hAnsi="Times New Roman"/>
                <w:sz w:val="18"/>
                <w:szCs w:val="18"/>
              </w:rPr>
            </w:pPr>
            <w:r>
              <w:rPr>
                <w:rFonts w:ascii="Times New Roman" w:hAnsi="Times New Roman"/>
                <w:sz w:val="18"/>
                <w:szCs w:val="18"/>
              </w:rPr>
              <w:t>Direzione</w:t>
            </w:r>
          </w:p>
          <w:p w:rsidR="00417BBC" w:rsidRDefault="00417BBC" w:rsidP="00A06362">
            <w:pPr>
              <w:spacing w:after="120"/>
              <w:jc w:val="center"/>
              <w:rPr>
                <w:rFonts w:ascii="Times New Roman" w:hAnsi="Times New Roman"/>
                <w:sz w:val="18"/>
                <w:szCs w:val="18"/>
              </w:rPr>
            </w:pPr>
            <w:r>
              <w:rPr>
                <w:rFonts w:ascii="Times New Roman" w:hAnsi="Times New Roman"/>
                <w:sz w:val="18"/>
                <w:szCs w:val="18"/>
              </w:rPr>
              <w:t>Esecuzione Pagamenti</w:t>
            </w:r>
          </w:p>
          <w:p w:rsidR="00417BBC" w:rsidRDefault="00417BBC" w:rsidP="00A06362">
            <w:pPr>
              <w:spacing w:after="120"/>
              <w:jc w:val="center"/>
              <w:rPr>
                <w:rFonts w:ascii="Times New Roman" w:hAnsi="Times New Roman"/>
                <w:sz w:val="18"/>
                <w:szCs w:val="18"/>
              </w:rPr>
            </w:pPr>
            <w:r>
              <w:rPr>
                <w:rFonts w:ascii="Times New Roman" w:hAnsi="Times New Roman"/>
                <w:sz w:val="18"/>
                <w:szCs w:val="18"/>
              </w:rPr>
              <w:t xml:space="preserve">Autorizzazione </w:t>
            </w:r>
          </w:p>
          <w:p w:rsidR="00417BBC" w:rsidRPr="00E63330" w:rsidRDefault="00417BBC" w:rsidP="00A06362">
            <w:pPr>
              <w:spacing w:after="120"/>
              <w:jc w:val="center"/>
              <w:rPr>
                <w:rFonts w:ascii="Times New Roman" w:hAnsi="Times New Roman"/>
                <w:sz w:val="18"/>
                <w:szCs w:val="18"/>
              </w:rPr>
            </w:pPr>
            <w:r>
              <w:rPr>
                <w:rFonts w:ascii="Times New Roman" w:hAnsi="Times New Roman"/>
                <w:sz w:val="18"/>
                <w:szCs w:val="18"/>
              </w:rPr>
              <w:t>Contabilizzazione</w:t>
            </w:r>
            <w:r w:rsidRPr="00E63330">
              <w:rPr>
                <w:rFonts w:ascii="Times New Roman" w:hAnsi="Times New Roman"/>
                <w:sz w:val="18"/>
                <w:szCs w:val="18"/>
              </w:rPr>
              <w:t xml:space="preserve"> </w:t>
            </w:r>
          </w:p>
          <w:p w:rsidR="00417BBC" w:rsidRPr="00E63330" w:rsidRDefault="00417BBC" w:rsidP="00055E4D">
            <w:pPr>
              <w:spacing w:after="120"/>
              <w:jc w:val="center"/>
              <w:rPr>
                <w:rFonts w:ascii="Times New Roman" w:hAnsi="Times New Roman"/>
                <w:b/>
                <w:sz w:val="18"/>
                <w:szCs w:val="18"/>
              </w:rPr>
            </w:pPr>
          </w:p>
          <w:p w:rsidR="00417BBC" w:rsidRPr="00E63330" w:rsidRDefault="00417BBC" w:rsidP="00055E4D">
            <w:pPr>
              <w:spacing w:after="120"/>
              <w:jc w:val="center"/>
              <w:rPr>
                <w:rFonts w:ascii="Times New Roman" w:hAnsi="Times New Roman"/>
                <w:sz w:val="18"/>
                <w:szCs w:val="18"/>
              </w:rPr>
            </w:pPr>
          </w:p>
        </w:tc>
        <w:tc>
          <w:tcPr>
            <w:tcW w:w="1160" w:type="pct"/>
          </w:tcPr>
          <w:p w:rsidR="00417BBC" w:rsidRPr="00E63330" w:rsidRDefault="00417BBC" w:rsidP="00055E4D">
            <w:pPr>
              <w:spacing w:after="0" w:line="240" w:lineRule="auto"/>
              <w:ind w:firstLine="8"/>
              <w:jc w:val="both"/>
              <w:rPr>
                <w:rFonts w:ascii="Times New Roman" w:hAnsi="Times New Roman"/>
                <w:sz w:val="18"/>
                <w:szCs w:val="18"/>
              </w:rPr>
            </w:pPr>
            <w:r>
              <w:rPr>
                <w:rFonts w:ascii="Times New Roman" w:hAnsi="Times New Roman"/>
                <w:b/>
                <w:sz w:val="18"/>
                <w:szCs w:val="18"/>
                <w:u w:val="single"/>
              </w:rPr>
              <w:t>Lettera d)</w:t>
            </w:r>
            <w:r>
              <w:rPr>
                <w:rFonts w:ascii="Times New Roman" w:hAnsi="Times New Roman"/>
                <w:sz w:val="18"/>
                <w:szCs w:val="18"/>
              </w:rPr>
              <w:t>Attraverso i servizi di consulenza e di “</w:t>
            </w:r>
            <w:proofErr w:type="spellStart"/>
            <w:r>
              <w:rPr>
                <w:rFonts w:ascii="Times New Roman" w:hAnsi="Times New Roman"/>
                <w:i/>
                <w:sz w:val="18"/>
                <w:szCs w:val="18"/>
              </w:rPr>
              <w:t>assurance</w:t>
            </w:r>
            <w:proofErr w:type="spellEnd"/>
            <w:r>
              <w:rPr>
                <w:rFonts w:ascii="Times New Roman" w:hAnsi="Times New Roman"/>
                <w:sz w:val="18"/>
                <w:szCs w:val="18"/>
              </w:rPr>
              <w:t>”, garantiti dal Servizio Controllo Interno, anche con riferimento ai sistemi informativi (in considerazione della sempre maggiore dipendenza dei processi dell’Agenzia dall’informatica), si contribuisce alla modernizzazione e miglioramento dell’organizzazione anche per quanto concerne i processi di digitalizzazione e sicurezza delle informazioni .</w:t>
            </w:r>
          </w:p>
          <w:p w:rsidR="00417BBC" w:rsidRPr="00E63330" w:rsidRDefault="00417BBC" w:rsidP="00055E4D">
            <w:pPr>
              <w:tabs>
                <w:tab w:val="left" w:pos="287"/>
              </w:tabs>
              <w:spacing w:after="120"/>
              <w:jc w:val="both"/>
              <w:rPr>
                <w:rFonts w:ascii="Times New Roman" w:hAnsi="Times New Roman"/>
                <w:b/>
                <w:sz w:val="18"/>
                <w:szCs w:val="18"/>
                <w:u w:val="single"/>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f)</w:t>
            </w:r>
            <w:r>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17BBC" w:rsidRPr="00E63330" w:rsidRDefault="00417BBC" w:rsidP="00055E4D">
            <w:pPr>
              <w:tabs>
                <w:tab w:val="left" w:pos="287"/>
              </w:tabs>
              <w:spacing w:after="120"/>
              <w:jc w:val="both"/>
              <w:rPr>
                <w:rFonts w:ascii="Times New Roman" w:hAnsi="Times New Roman"/>
                <w:sz w:val="2"/>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xml:space="preserve">: Sono estrinsecati e riportati nella colonna dedicata, gli indicatori di performance connessi alla qualità ed alla quantità delle prestazioni e </w:t>
            </w:r>
            <w:r>
              <w:rPr>
                <w:rFonts w:ascii="Times New Roman" w:hAnsi="Times New Roman"/>
                <w:sz w:val="18"/>
                <w:szCs w:val="18"/>
              </w:rPr>
              <w:lastRenderedPageBreak/>
              <w:t>dei servizi erogati.</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tc>
        <w:tc>
          <w:tcPr>
            <w:tcW w:w="1365"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lastRenderedPageBreak/>
              <w:t>I.4.1 Numero di monitoraggi effettuati con riferimento alle statistiche relative alle misure FEASR non SIGC allo scopo di verificare il processo di istruttoria delle domande di pagamento (&gt;= 2) (Fonte: verbali redatti dall’Ufficio competente individuato formalmente dalla Direzione) (</w:t>
            </w:r>
            <w:r>
              <w:rPr>
                <w:rFonts w:ascii="Times New Roman" w:hAnsi="Times New Roman"/>
                <w:b/>
                <w:sz w:val="18"/>
                <w:szCs w:val="18"/>
                <w:u w:val="single"/>
              </w:rPr>
              <w:t>PESO 40%)</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I.4.2 Numero di report inviati dalle Funzioni/Uffici al fine di consentire monitoraggi periodici dello stato d’avanzamento degli obiettivi strategici e operativi previsti dal Piano della Performance (&gt;= 10 – almeno 2 per ogni Struttura Dirigenziale) (Fonte report redatti dall’Ufficio </w:t>
            </w:r>
            <w:proofErr w:type="spellStart"/>
            <w:r>
              <w:rPr>
                <w:rFonts w:ascii="Times New Roman" w:hAnsi="Times New Roman"/>
                <w:sz w:val="18"/>
                <w:szCs w:val="18"/>
              </w:rPr>
              <w:t>Monit</w:t>
            </w:r>
            <w:proofErr w:type="spellEnd"/>
            <w:r>
              <w:rPr>
                <w:rFonts w:ascii="Times New Roman" w:hAnsi="Times New Roman"/>
                <w:sz w:val="18"/>
                <w:szCs w:val="18"/>
              </w:rPr>
              <w:t>. e Comunicazione) (</w:t>
            </w:r>
            <w:r>
              <w:rPr>
                <w:rFonts w:ascii="Times New Roman" w:hAnsi="Times New Roman"/>
                <w:b/>
                <w:sz w:val="18"/>
                <w:szCs w:val="18"/>
                <w:u w:val="single"/>
              </w:rPr>
              <w:t>PESO 60%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p>
        </w:tc>
      </w:tr>
      <w:tr w:rsidR="00417BBC" w:rsidRPr="00E63330" w:rsidTr="00417BBC">
        <w:tc>
          <w:tcPr>
            <w:tcW w:w="842" w:type="pct"/>
            <w:vMerge/>
          </w:tcPr>
          <w:p w:rsidR="00417BBC" w:rsidRPr="00E63330" w:rsidRDefault="00417BBC" w:rsidP="00055E4D">
            <w:pPr>
              <w:jc w:val="center"/>
              <w:rPr>
                <w:rFonts w:ascii="Times New Roman" w:hAnsi="Times New Roman"/>
                <w:b/>
                <w:sz w:val="18"/>
                <w:szCs w:val="18"/>
              </w:rPr>
            </w:pPr>
          </w:p>
        </w:tc>
        <w:tc>
          <w:tcPr>
            <w:tcW w:w="853" w:type="pct"/>
            <w:vAlign w:val="center"/>
          </w:tcPr>
          <w:p w:rsidR="00417BBC" w:rsidRPr="00E63330" w:rsidRDefault="00417BBC" w:rsidP="00055E4D">
            <w:pPr>
              <w:jc w:val="center"/>
              <w:rPr>
                <w:rFonts w:ascii="Times New Roman" w:hAnsi="Times New Roman"/>
                <w:sz w:val="18"/>
                <w:szCs w:val="18"/>
              </w:rPr>
            </w:pPr>
            <w:r>
              <w:rPr>
                <w:rFonts w:ascii="Times New Roman" w:hAnsi="Times New Roman"/>
                <w:sz w:val="18"/>
                <w:szCs w:val="18"/>
              </w:rPr>
              <w:t>1.5</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Garantire una comunicazione efficace anche in rapporto alla trasparenza, all'integrità ed all'anticorruzione</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(peso: 10%)</w:t>
            </w:r>
          </w:p>
        </w:tc>
        <w:tc>
          <w:tcPr>
            <w:tcW w:w="780" w:type="pct"/>
          </w:tcPr>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Autorizzazione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Esecuzione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Contabilizzazione</w:t>
            </w:r>
          </w:p>
          <w:p w:rsidR="00417BBC" w:rsidRPr="00E63330" w:rsidRDefault="00417BBC" w:rsidP="00055E4D">
            <w:pPr>
              <w:spacing w:after="120"/>
              <w:jc w:val="center"/>
              <w:rPr>
                <w:rFonts w:ascii="Times New Roman" w:hAnsi="Times New Roman"/>
                <w:sz w:val="18"/>
                <w:szCs w:val="18"/>
              </w:rPr>
            </w:pP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Lettere a) e c)</w:t>
            </w:r>
            <w:r>
              <w:rPr>
                <w:rFonts w:ascii="Times New Roman" w:hAnsi="Times New Roman"/>
                <w:sz w:val="18"/>
                <w:szCs w:val="18"/>
              </w:rPr>
              <w:t>: attuazione delle politiche attivate sulla soddisfazione finale dei bisogni della collettività e la rilevazione del grado di soddisfazione.</w:t>
            </w:r>
          </w:p>
          <w:p w:rsidR="00417BBC" w:rsidRPr="00E63330" w:rsidRDefault="00417BBC" w:rsidP="00055E4D">
            <w:pPr>
              <w:tabs>
                <w:tab w:val="left" w:pos="287"/>
              </w:tabs>
              <w:spacing w:after="120"/>
              <w:jc w:val="both"/>
              <w:rPr>
                <w:rFonts w:ascii="Times New Roman" w:hAnsi="Times New Roman"/>
                <w:sz w:val="2"/>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e)</w:t>
            </w:r>
            <w:r>
              <w:rPr>
                <w:rFonts w:ascii="Times New Roman" w:hAnsi="Times New Roman"/>
                <w:sz w:val="18"/>
                <w:szCs w:val="18"/>
              </w:rPr>
              <w:t xml:space="preserve">: La struttura organizzativa dell’ARCEA prevede, al suo interno, un Ufficio dedicato alla gestione dei rapporti con i terzi (URCAA) che, come si vedrà in seguito, funge sia da primo punto di contatto con l’Agenzia per utenti e soggetti interessati, che da struttura di consulenza tecnico-amministrativa per la risoluzione di una vasta casistica di problematiche.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Ciò consente una costante interazione e partecipazione dei destinatari dei servizi i quali possono contare su un supporto qualificato, presente direttamente sul territorio.</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Lo sviluppo qualitativo e quantitativo delle relazioni con i cittadini, i soggetti interessati, gli utenti e i destinatari dei servizi, pertanto, si realizza a tutti i </w:t>
            </w:r>
            <w:r>
              <w:rPr>
                <w:rFonts w:ascii="Times New Roman" w:hAnsi="Times New Roman"/>
                <w:sz w:val="18"/>
                <w:szCs w:val="18"/>
              </w:rPr>
              <w:lastRenderedPageBreak/>
              <w:t>livelli anche attraverso un’azione di formazione che l’ARCEA effettua nei confronti degli operatori degli Enti delegati che, in tal modo, concorrono allo sviluppo di forme di partecipazione e collaborazione.</w:t>
            </w:r>
          </w:p>
          <w:p w:rsidR="00417BBC" w:rsidRPr="00E63330" w:rsidRDefault="00417BBC" w:rsidP="00055E4D">
            <w:pPr>
              <w:tabs>
                <w:tab w:val="left" w:pos="287"/>
              </w:tabs>
              <w:spacing w:after="120"/>
              <w:jc w:val="both"/>
              <w:rPr>
                <w:rFonts w:ascii="Times New Roman" w:hAnsi="Times New Roman"/>
                <w:sz w:val="2"/>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tc>
        <w:tc>
          <w:tcPr>
            <w:tcW w:w="1365"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lastRenderedPageBreak/>
              <w:t>I.1.5.1 Percentuale di ulteriori Misure di Prevenzione della Corruzione attuate rispetto a quanto previsto nel Piano Anticorruzione &gt;= 80% (Riscontrabile  dai report redatti dall’Ufficio Monitoraggio e Comunicazione ) (</w:t>
            </w:r>
            <w:r>
              <w:rPr>
                <w:rFonts w:ascii="Times New Roman" w:hAnsi="Times New Roman"/>
                <w:b/>
                <w:sz w:val="18"/>
                <w:szCs w:val="18"/>
                <w:u w:val="single"/>
              </w:rPr>
              <w:t>peso 80%</w:t>
            </w:r>
            <w:r>
              <w:rPr>
                <w:rFonts w:ascii="Times New Roman" w:hAnsi="Times New Roman"/>
                <w:sz w:val="18"/>
                <w:szCs w:val="18"/>
              </w:rPr>
              <w:t xml:space="preserve">);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I.1.5.2 Numero di report inviati dalle Funzioni/Uffici al fine di consentire monitoraggi periodici con riferimento all’attuazione delle misure previste nel  Piano anticorruzione e trasparenza (&gt;= 10) ( Riscontrabile  dai report redatti dall’Ufficio  Monitoraggio  e Comunicazione) (</w:t>
            </w:r>
            <w:r>
              <w:rPr>
                <w:rFonts w:ascii="Times New Roman" w:hAnsi="Times New Roman"/>
                <w:b/>
                <w:sz w:val="18"/>
                <w:szCs w:val="18"/>
                <w:u w:val="single"/>
              </w:rPr>
              <w:t>peso 20%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tc>
      </w:tr>
      <w:tr w:rsidR="00417BBC" w:rsidRPr="00E63330" w:rsidTr="00417BBC">
        <w:trPr>
          <w:trHeight w:val="5648"/>
        </w:trPr>
        <w:tc>
          <w:tcPr>
            <w:tcW w:w="842" w:type="pct"/>
            <w:vMerge/>
          </w:tcPr>
          <w:p w:rsidR="00417BBC" w:rsidRPr="00E63330" w:rsidRDefault="00417BBC" w:rsidP="00055E4D">
            <w:pPr>
              <w:jc w:val="center"/>
              <w:rPr>
                <w:rFonts w:ascii="Times New Roman" w:hAnsi="Times New Roman"/>
                <w:b/>
                <w:sz w:val="18"/>
                <w:szCs w:val="18"/>
              </w:rPr>
            </w:pPr>
          </w:p>
        </w:tc>
        <w:tc>
          <w:tcPr>
            <w:tcW w:w="853" w:type="pct"/>
            <w:vAlign w:val="center"/>
          </w:tcPr>
          <w:p w:rsidR="00417BBC" w:rsidRPr="00E63330" w:rsidRDefault="00417BBC" w:rsidP="00055E4D">
            <w:pPr>
              <w:jc w:val="center"/>
              <w:rPr>
                <w:rFonts w:ascii="Times New Roman" w:hAnsi="Times New Roman"/>
                <w:sz w:val="18"/>
                <w:szCs w:val="18"/>
              </w:rPr>
            </w:pPr>
            <w:r>
              <w:rPr>
                <w:rFonts w:ascii="Times New Roman" w:hAnsi="Times New Roman"/>
                <w:sz w:val="18"/>
                <w:szCs w:val="18"/>
              </w:rPr>
              <w:t>1.6</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Garantire un’adeguata attività di monitoraggio anche in rapporto alla trasparenza ed all’integrità</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(peso: 15%)</w:t>
            </w:r>
          </w:p>
        </w:tc>
        <w:tc>
          <w:tcPr>
            <w:tcW w:w="780" w:type="pct"/>
          </w:tcPr>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Autorizzazione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Esecuzione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Contabilizzazione</w:t>
            </w:r>
          </w:p>
          <w:p w:rsidR="00417BBC" w:rsidRPr="00E63330" w:rsidRDefault="00417BBC" w:rsidP="00055E4D">
            <w:pPr>
              <w:spacing w:after="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Lettere a) e c)</w:t>
            </w:r>
            <w:r>
              <w:rPr>
                <w:rFonts w:ascii="Times New Roman" w:hAnsi="Times New Roman"/>
                <w:sz w:val="18"/>
                <w:szCs w:val="18"/>
              </w:rPr>
              <w:t>: attuazione delle politiche attivate sulla soddisfazione finale dei bisogni della collettività e la rilevazione del grado di soddisfazione.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tc>
        <w:tc>
          <w:tcPr>
            <w:tcW w:w="1365" w:type="pct"/>
          </w:tcPr>
          <w:p w:rsidR="00417BBC" w:rsidRPr="00E63330" w:rsidRDefault="00417BBC" w:rsidP="00055E4D">
            <w:pPr>
              <w:tabs>
                <w:tab w:val="left" w:pos="287"/>
              </w:tabs>
              <w:spacing w:after="120"/>
              <w:jc w:val="both"/>
              <w:rPr>
                <w:rFonts w:ascii="Times New Roman" w:hAnsi="Times New Roman"/>
                <w:b/>
                <w:sz w:val="18"/>
                <w:szCs w:val="18"/>
              </w:rPr>
            </w:pPr>
            <w:r>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Pr>
                <w:rFonts w:ascii="Times New Roman" w:hAnsi="Times New Roman"/>
                <w:b/>
                <w:sz w:val="18"/>
                <w:szCs w:val="18"/>
              </w:rPr>
              <w:t xml:space="preserve">(peso 100%) </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ind w:left="287"/>
              <w:jc w:val="both"/>
              <w:rPr>
                <w:rFonts w:ascii="Times New Roman" w:hAnsi="Times New Roman"/>
                <w:sz w:val="18"/>
                <w:szCs w:val="18"/>
              </w:rPr>
            </w:pPr>
          </w:p>
          <w:p w:rsidR="00417BBC" w:rsidRPr="00E63330" w:rsidRDefault="00417BBC" w:rsidP="00055E4D">
            <w:pPr>
              <w:tabs>
                <w:tab w:val="left" w:pos="287"/>
              </w:tabs>
              <w:spacing w:after="120"/>
              <w:ind w:left="287"/>
              <w:jc w:val="both"/>
              <w:rPr>
                <w:rFonts w:ascii="Times New Roman" w:hAnsi="Times New Roman"/>
                <w:sz w:val="18"/>
                <w:szCs w:val="18"/>
              </w:rPr>
            </w:pPr>
          </w:p>
        </w:tc>
      </w:tr>
      <w:tr w:rsidR="00417BBC" w:rsidRPr="00E63330" w:rsidTr="00417BBC">
        <w:trPr>
          <w:trHeight w:val="1549"/>
        </w:trPr>
        <w:tc>
          <w:tcPr>
            <w:tcW w:w="842" w:type="pct"/>
            <w:vAlign w:val="center"/>
          </w:tcPr>
          <w:p w:rsidR="00417BBC" w:rsidRPr="00E63330" w:rsidRDefault="00417BBC" w:rsidP="00055E4D">
            <w:pPr>
              <w:pStyle w:val="Corpotesto"/>
              <w:jc w:val="center"/>
              <w:rPr>
                <w:rFonts w:ascii="Times New Roman" w:hAnsi="Times New Roman"/>
                <w:sz w:val="18"/>
                <w:szCs w:val="18"/>
              </w:rPr>
            </w:pPr>
            <w:r>
              <w:rPr>
                <w:rFonts w:ascii="Times New Roman" w:hAnsi="Times New Roman"/>
                <w:sz w:val="20"/>
                <w:szCs w:val="20"/>
              </w:rPr>
              <w:lastRenderedPageBreak/>
              <w:t xml:space="preserve">2. </w:t>
            </w:r>
            <w:r w:rsidRPr="005E7A71">
              <w:rPr>
                <w:rFonts w:ascii="Times New Roman" w:hAnsi="Times New Roman"/>
                <w:sz w:val="20"/>
                <w:szCs w:val="20"/>
              </w:rPr>
              <w:t>Raggiungimento degli obiettivi di spesa previsti dai regolamenti comunitari di riferimento per i Fondi FEAGA e FEASR e perfezionamento dell’iter dei pagamenti (peso: 30%)</w:t>
            </w:r>
          </w:p>
        </w:tc>
        <w:tc>
          <w:tcPr>
            <w:tcW w:w="853" w:type="pct"/>
            <w:vAlign w:val="center"/>
          </w:tcPr>
          <w:p w:rsidR="00417BBC" w:rsidRPr="00E63330" w:rsidRDefault="00417BBC" w:rsidP="00055E4D">
            <w:pPr>
              <w:spacing w:after="120" w:line="240" w:lineRule="auto"/>
              <w:jc w:val="center"/>
              <w:rPr>
                <w:rFonts w:ascii="Times New Roman" w:hAnsi="Times New Roman"/>
                <w:sz w:val="18"/>
                <w:szCs w:val="18"/>
              </w:rPr>
            </w:pPr>
            <w:r>
              <w:rPr>
                <w:rFonts w:ascii="Times New Roman" w:hAnsi="Times New Roman"/>
                <w:sz w:val="18"/>
                <w:szCs w:val="18"/>
              </w:rPr>
              <w:t>2.1</w:t>
            </w:r>
          </w:p>
          <w:p w:rsidR="00417BBC" w:rsidRPr="00E63330" w:rsidRDefault="00417BBC" w:rsidP="00055E4D">
            <w:pPr>
              <w:spacing w:after="120" w:line="240" w:lineRule="auto"/>
              <w:jc w:val="center"/>
              <w:rPr>
                <w:rFonts w:ascii="Times New Roman" w:hAnsi="Times New Roman"/>
                <w:sz w:val="18"/>
                <w:szCs w:val="18"/>
              </w:rPr>
            </w:pPr>
            <w:r>
              <w:rPr>
                <w:rFonts w:ascii="Times New Roman" w:hAnsi="Times New Roman"/>
                <w:sz w:val="18"/>
                <w:szCs w:val="18"/>
              </w:rPr>
              <w:t>Implementazione delle necessarie procedure tecnico-amministrative</w:t>
            </w:r>
          </w:p>
          <w:p w:rsidR="00417BBC" w:rsidRPr="00E63330" w:rsidRDefault="00417BBC" w:rsidP="00F75EDE">
            <w:pPr>
              <w:spacing w:after="120" w:line="240" w:lineRule="auto"/>
              <w:jc w:val="center"/>
              <w:rPr>
                <w:rFonts w:ascii="Times New Roman" w:hAnsi="Times New Roman"/>
                <w:sz w:val="18"/>
                <w:szCs w:val="18"/>
              </w:rPr>
            </w:pPr>
            <w:r>
              <w:rPr>
                <w:rFonts w:ascii="Times New Roman" w:hAnsi="Times New Roman"/>
                <w:sz w:val="18"/>
                <w:szCs w:val="18"/>
              </w:rPr>
              <w:t>(Peso: 100%)</w:t>
            </w:r>
          </w:p>
        </w:tc>
        <w:tc>
          <w:tcPr>
            <w:tcW w:w="780" w:type="pct"/>
          </w:tcPr>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 xml:space="preserve">Funzione Autorizzazione dei pagamenti </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Esecuzione dei pagamenti</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Contabilizzazione</w:t>
            </w:r>
          </w:p>
        </w:tc>
        <w:tc>
          <w:tcPr>
            <w:tcW w:w="1160"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 xml:space="preserve">Lettera f):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Lettera g):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b/>
                <w:sz w:val="18"/>
                <w:szCs w:val="18"/>
                <w:u w:val="single"/>
              </w:rPr>
            </w:pPr>
            <w:r>
              <w:rPr>
                <w:rFonts w:ascii="Times New Roman" w:hAnsi="Times New Roman"/>
                <w:sz w:val="18"/>
                <w:szCs w:val="18"/>
              </w:rPr>
              <w:t xml:space="preserve">Lettera h):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r>
              <w:rPr>
                <w:rFonts w:ascii="Times New Roman" w:hAnsi="Times New Roman"/>
                <w:b/>
                <w:sz w:val="18"/>
                <w:szCs w:val="18"/>
                <w:u w:val="single"/>
              </w:rPr>
              <w:t>.</w:t>
            </w:r>
          </w:p>
        </w:tc>
        <w:tc>
          <w:tcPr>
            <w:tcW w:w="1365"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I.2.1.1 Numero di Circolari adottati dalle Funzioni (&gt;=7)</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i/>
                <w:sz w:val="18"/>
                <w:szCs w:val="18"/>
              </w:rPr>
              <w:t>Riscontrabili dal Protocollo dell’Ente</w:t>
            </w:r>
            <w:r>
              <w:rPr>
                <w:rFonts w:ascii="Times New Roman" w:hAnsi="Times New Roman"/>
                <w:sz w:val="18"/>
                <w:szCs w:val="18"/>
              </w:rPr>
              <w:t>) (</w:t>
            </w:r>
            <w:r>
              <w:rPr>
                <w:rFonts w:ascii="Times New Roman" w:hAnsi="Times New Roman"/>
                <w:b/>
                <w:sz w:val="18"/>
                <w:szCs w:val="18"/>
                <w:u w:val="single"/>
              </w:rPr>
              <w:t>Peso 50%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I.2.1.2 Numero di Manuali operativi adottati dalle Funzioni (&gt;=10) (</w:t>
            </w:r>
            <w:r>
              <w:rPr>
                <w:rFonts w:ascii="Times New Roman" w:hAnsi="Times New Roman"/>
                <w:i/>
                <w:sz w:val="18"/>
                <w:szCs w:val="18"/>
              </w:rPr>
              <w:t>Riscontrabili dal Registro dei Decreti</w:t>
            </w:r>
            <w:r>
              <w:rPr>
                <w:rFonts w:ascii="Times New Roman" w:hAnsi="Times New Roman"/>
                <w:sz w:val="18"/>
                <w:szCs w:val="18"/>
              </w:rPr>
              <w:t>) (</w:t>
            </w:r>
            <w:r>
              <w:rPr>
                <w:rFonts w:ascii="Times New Roman" w:hAnsi="Times New Roman"/>
                <w:b/>
                <w:sz w:val="18"/>
                <w:szCs w:val="18"/>
                <w:u w:val="single"/>
              </w:rPr>
              <w:t>Peso 50%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p w:rsidR="00417BBC" w:rsidRPr="00E63330" w:rsidRDefault="00417BBC" w:rsidP="00055E4D">
            <w:pPr>
              <w:widowControl w:val="0"/>
              <w:autoSpaceDE w:val="0"/>
              <w:autoSpaceDN w:val="0"/>
              <w:adjustRightInd w:val="0"/>
              <w:spacing w:after="0" w:line="240" w:lineRule="auto"/>
              <w:rPr>
                <w:rFonts w:ascii="Times New Roman" w:hAnsi="Times New Roman"/>
                <w:sz w:val="18"/>
                <w:szCs w:val="18"/>
              </w:rPr>
            </w:pPr>
          </w:p>
        </w:tc>
      </w:tr>
      <w:tr w:rsidR="00417BBC" w:rsidRPr="00E63330" w:rsidTr="00417BBC">
        <w:trPr>
          <w:trHeight w:val="3323"/>
        </w:trPr>
        <w:tc>
          <w:tcPr>
            <w:tcW w:w="842" w:type="pct"/>
            <w:vMerge w:val="restart"/>
            <w:vAlign w:val="center"/>
          </w:tcPr>
          <w:p w:rsidR="00417BBC" w:rsidRPr="00E63330" w:rsidRDefault="00417BBC" w:rsidP="00055E4D">
            <w:pPr>
              <w:pStyle w:val="Corpotesto"/>
              <w:jc w:val="center"/>
              <w:rPr>
                <w:rFonts w:ascii="Times New Roman" w:hAnsi="Times New Roman"/>
                <w:sz w:val="18"/>
                <w:szCs w:val="18"/>
              </w:rPr>
            </w:pPr>
            <w:r>
              <w:rPr>
                <w:rFonts w:ascii="Times New Roman" w:hAnsi="Times New Roman"/>
                <w:sz w:val="18"/>
                <w:szCs w:val="18"/>
              </w:rPr>
              <w:t>3.</w:t>
            </w:r>
          </w:p>
          <w:p w:rsidR="00417BBC" w:rsidRPr="00E63330" w:rsidRDefault="00417BBC" w:rsidP="00055E4D">
            <w:pPr>
              <w:pStyle w:val="Corpotesto"/>
              <w:jc w:val="center"/>
              <w:rPr>
                <w:rFonts w:ascii="Times New Roman" w:hAnsi="Times New Roman"/>
                <w:sz w:val="18"/>
                <w:szCs w:val="18"/>
              </w:rPr>
            </w:pPr>
            <w:r w:rsidRPr="003C3367">
              <w:rPr>
                <w:rFonts w:ascii="Times New Roman" w:hAnsi="Times New Roman"/>
                <w:sz w:val="18"/>
                <w:szCs w:val="18"/>
              </w:rPr>
              <w:t xml:space="preserve">Adeguamento delle funzionalità del sistema informativo, anche in funzione del Piano Triennale per l’Informatizzazione e di quanto disposto dal Reg (UE) 907/2014 in merito alla sicurezza delle </w:t>
            </w:r>
            <w:r w:rsidRPr="003C3367">
              <w:rPr>
                <w:rFonts w:ascii="Times New Roman" w:hAnsi="Times New Roman"/>
                <w:sz w:val="18"/>
                <w:szCs w:val="18"/>
              </w:rPr>
              <w:lastRenderedPageBreak/>
              <w:t>informazioni (peso: 30%)</w:t>
            </w:r>
          </w:p>
          <w:p w:rsidR="00417BBC" w:rsidRPr="00E63330" w:rsidRDefault="00417BBC" w:rsidP="00055E4D">
            <w:pPr>
              <w:pStyle w:val="Corpotesto"/>
              <w:jc w:val="center"/>
              <w:rPr>
                <w:rFonts w:ascii="Times New Roman" w:hAnsi="Times New Roman"/>
                <w:sz w:val="18"/>
                <w:szCs w:val="18"/>
              </w:rPr>
            </w:pPr>
          </w:p>
          <w:p w:rsidR="00417BBC" w:rsidRPr="003C3367" w:rsidRDefault="00417BBC" w:rsidP="00055E4D">
            <w:pPr>
              <w:pStyle w:val="Corpotesto"/>
              <w:jc w:val="center"/>
              <w:rPr>
                <w:rFonts w:ascii="Times New Roman" w:hAnsi="Times New Roman"/>
              </w:rPr>
            </w:pPr>
          </w:p>
        </w:tc>
        <w:tc>
          <w:tcPr>
            <w:tcW w:w="853" w:type="pct"/>
            <w:vAlign w:val="center"/>
          </w:tcPr>
          <w:p w:rsidR="00417BBC" w:rsidRPr="00E63330" w:rsidRDefault="00417BBC" w:rsidP="00055E4D">
            <w:pPr>
              <w:spacing w:after="120" w:line="240" w:lineRule="auto"/>
              <w:jc w:val="center"/>
              <w:rPr>
                <w:rFonts w:ascii="Times New Roman" w:hAnsi="Times New Roman"/>
                <w:sz w:val="18"/>
                <w:szCs w:val="18"/>
              </w:rPr>
            </w:pPr>
            <w:r>
              <w:rPr>
                <w:rFonts w:ascii="Times New Roman" w:hAnsi="Times New Roman"/>
                <w:sz w:val="18"/>
                <w:szCs w:val="18"/>
              </w:rPr>
              <w:lastRenderedPageBreak/>
              <w:t>3.1</w:t>
            </w:r>
          </w:p>
          <w:p w:rsidR="00417BBC" w:rsidRPr="00E63330" w:rsidRDefault="00417BBC" w:rsidP="00E459AB">
            <w:pPr>
              <w:spacing w:after="120" w:line="240" w:lineRule="auto"/>
              <w:jc w:val="center"/>
              <w:rPr>
                <w:rFonts w:ascii="Times New Roman" w:hAnsi="Times New Roman"/>
                <w:sz w:val="18"/>
                <w:szCs w:val="18"/>
              </w:rPr>
            </w:pPr>
            <w:r>
              <w:rPr>
                <w:rFonts w:ascii="Times New Roman" w:hAnsi="Times New Roman"/>
                <w:sz w:val="18"/>
                <w:szCs w:val="18"/>
              </w:rPr>
              <w:t xml:space="preserve">Migliorare l’efficienza dei processi introducendo un nuovo sistema di protocollazione informatico e gestione documentale </w:t>
            </w:r>
          </w:p>
          <w:p w:rsidR="00417BBC" w:rsidRPr="00E63330" w:rsidRDefault="00417BBC" w:rsidP="00055E4D">
            <w:pPr>
              <w:spacing w:after="120" w:line="240" w:lineRule="auto"/>
              <w:jc w:val="center"/>
              <w:rPr>
                <w:rFonts w:ascii="Times New Roman" w:hAnsi="Times New Roman"/>
                <w:sz w:val="18"/>
                <w:szCs w:val="18"/>
              </w:rPr>
            </w:pPr>
            <w:r>
              <w:rPr>
                <w:rFonts w:ascii="Times New Roman" w:hAnsi="Times New Roman"/>
                <w:sz w:val="18"/>
                <w:szCs w:val="18"/>
              </w:rPr>
              <w:t>(Peso: 50%)</w:t>
            </w:r>
          </w:p>
          <w:p w:rsidR="00417BBC" w:rsidRPr="00E63330" w:rsidRDefault="00417BBC" w:rsidP="00055E4D">
            <w:pPr>
              <w:spacing w:after="120" w:line="240" w:lineRule="auto"/>
              <w:jc w:val="center"/>
              <w:rPr>
                <w:rFonts w:ascii="Times New Roman" w:hAnsi="Times New Roman"/>
                <w:sz w:val="18"/>
                <w:szCs w:val="18"/>
              </w:rPr>
            </w:pPr>
          </w:p>
        </w:tc>
        <w:tc>
          <w:tcPr>
            <w:tcW w:w="780" w:type="pct"/>
            <w:vMerge w:val="restart"/>
          </w:tcPr>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Direzione</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 xml:space="preserve">Funzione Autorizzazione dei pagamenti </w:t>
            </w:r>
          </w:p>
          <w:p w:rsidR="00417BBC" w:rsidRPr="00E63330" w:rsidRDefault="00417BBC" w:rsidP="00055E4D">
            <w:pPr>
              <w:spacing w:after="120"/>
              <w:jc w:val="center"/>
              <w:rPr>
                <w:rFonts w:ascii="Times New Roman" w:hAnsi="Times New Roman"/>
                <w:sz w:val="18"/>
                <w:szCs w:val="18"/>
              </w:rPr>
            </w:pPr>
            <w:r>
              <w:rPr>
                <w:rFonts w:ascii="Times New Roman" w:hAnsi="Times New Roman"/>
                <w:sz w:val="18"/>
                <w:szCs w:val="18"/>
              </w:rPr>
              <w:t>Funzione Esecuzione dei pagamenti</w:t>
            </w:r>
          </w:p>
          <w:p w:rsidR="00417BBC" w:rsidRPr="00E63330" w:rsidRDefault="00417BBC" w:rsidP="00055E4D">
            <w:pPr>
              <w:jc w:val="center"/>
              <w:rPr>
                <w:rFonts w:ascii="Times New Roman" w:hAnsi="Times New Roman"/>
                <w:sz w:val="18"/>
                <w:szCs w:val="18"/>
              </w:rPr>
            </w:pPr>
            <w:r>
              <w:rPr>
                <w:rFonts w:ascii="Times New Roman" w:hAnsi="Times New Roman"/>
                <w:sz w:val="18"/>
                <w:szCs w:val="18"/>
              </w:rPr>
              <w:t>Funzione Contabilizzazione</w:t>
            </w:r>
          </w:p>
        </w:tc>
        <w:tc>
          <w:tcPr>
            <w:tcW w:w="1160" w:type="pct"/>
            <w:vMerge w:val="restar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lastRenderedPageBreak/>
              <w:t>Lettera f)</w:t>
            </w:r>
            <w:r>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w:t>
            </w:r>
            <w:r>
              <w:rPr>
                <w:rFonts w:ascii="Times New Roman" w:hAnsi="Times New Roman"/>
                <w:sz w:val="18"/>
                <w:szCs w:val="18"/>
              </w:rPr>
              <w:lastRenderedPageBreak/>
              <w:t xml:space="preserve">risparmi di spesa, pur ottenendo gli obiettivi istituzionali che le sono propri. </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g)</w:t>
            </w:r>
            <w:r>
              <w:rPr>
                <w:rFonts w:ascii="Times New Roman" w:hAnsi="Times New Roman"/>
                <w:sz w:val="18"/>
                <w:szCs w:val="18"/>
              </w:rPr>
              <w:t>: Sono estrinsecati e riportati nella colonna dedicata, gli indicatori di performance connessi alla qualità ed alla quantità delle prestazioni e dei servizi erogati.</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b/>
                <w:sz w:val="18"/>
                <w:szCs w:val="18"/>
                <w:u w:val="single"/>
              </w:rPr>
              <w:t>Lettera h)</w:t>
            </w:r>
            <w:r>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r>
              <w:rPr>
                <w:rFonts w:ascii="Times New Roman" w:hAnsi="Times New Roman"/>
                <w:sz w:val="18"/>
                <w:szCs w:val="18"/>
              </w:rPr>
              <w:t>ecc</w:t>
            </w:r>
            <w:proofErr w:type="spellEnd"/>
            <w:r>
              <w:rPr>
                <w:rFonts w:ascii="Times New Roman" w:hAnsi="Times New Roman"/>
                <w:sz w:val="18"/>
                <w:szCs w:val="18"/>
              </w:rPr>
              <w:t>,.</w:t>
            </w:r>
          </w:p>
        </w:tc>
        <w:tc>
          <w:tcPr>
            <w:tcW w:w="1365" w:type="pct"/>
          </w:tcPr>
          <w:p w:rsidR="00417BBC"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lastRenderedPageBreak/>
              <w:t>I.3.1.1 Messa in esercizio del nuovo software per la protocollazione informatica e la gestione documentale</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Target: messa in esercizio.</w:t>
            </w:r>
          </w:p>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w:t>
            </w:r>
            <w:r>
              <w:rPr>
                <w:rFonts w:ascii="Times New Roman" w:hAnsi="Times New Roman"/>
                <w:i/>
                <w:sz w:val="18"/>
                <w:szCs w:val="18"/>
              </w:rPr>
              <w:t>Riscontabile dal sistema di protocollo dell’ente</w:t>
            </w:r>
            <w:r>
              <w:rPr>
                <w:rFonts w:ascii="Times New Roman" w:hAnsi="Times New Roman"/>
                <w:sz w:val="18"/>
                <w:szCs w:val="18"/>
              </w:rPr>
              <w:t>) (</w:t>
            </w:r>
            <w:r>
              <w:rPr>
                <w:rFonts w:ascii="Times New Roman" w:hAnsi="Times New Roman"/>
                <w:b/>
                <w:sz w:val="18"/>
                <w:szCs w:val="18"/>
                <w:u w:val="single"/>
              </w:rPr>
              <w:t>Peso: 100%</w:t>
            </w:r>
            <w:r>
              <w:rPr>
                <w:rFonts w:ascii="Times New Roman" w:hAnsi="Times New Roman"/>
                <w:sz w:val="18"/>
                <w:szCs w:val="18"/>
              </w:rPr>
              <w:t>)</w:t>
            </w:r>
          </w:p>
          <w:p w:rsidR="00417BBC" w:rsidRPr="00E63330" w:rsidRDefault="00417BBC" w:rsidP="00055E4D">
            <w:pPr>
              <w:tabs>
                <w:tab w:val="left" w:pos="287"/>
              </w:tabs>
              <w:spacing w:after="120"/>
              <w:jc w:val="both"/>
              <w:rPr>
                <w:rFonts w:ascii="Times New Roman" w:hAnsi="Times New Roman"/>
                <w:sz w:val="18"/>
                <w:szCs w:val="18"/>
              </w:rPr>
            </w:pPr>
          </w:p>
        </w:tc>
      </w:tr>
      <w:tr w:rsidR="00417BBC" w:rsidRPr="00E63330" w:rsidTr="00417BBC">
        <w:trPr>
          <w:trHeight w:val="3322"/>
        </w:trPr>
        <w:tc>
          <w:tcPr>
            <w:tcW w:w="842" w:type="pct"/>
            <w:vMerge/>
            <w:vAlign w:val="center"/>
          </w:tcPr>
          <w:p w:rsidR="00417BBC" w:rsidRPr="00E63330" w:rsidRDefault="00417BBC" w:rsidP="00055E4D">
            <w:pPr>
              <w:pStyle w:val="Corpotesto"/>
              <w:jc w:val="center"/>
              <w:rPr>
                <w:rFonts w:ascii="Times New Roman" w:hAnsi="Times New Roman"/>
                <w:sz w:val="18"/>
                <w:szCs w:val="18"/>
              </w:rPr>
            </w:pPr>
          </w:p>
        </w:tc>
        <w:tc>
          <w:tcPr>
            <w:tcW w:w="853" w:type="pct"/>
            <w:vAlign w:val="center"/>
          </w:tcPr>
          <w:p w:rsidR="00417BBC" w:rsidRPr="003C3367" w:rsidRDefault="00417BBC" w:rsidP="00CB25F0">
            <w:pPr>
              <w:spacing w:after="120" w:line="240" w:lineRule="auto"/>
              <w:jc w:val="center"/>
              <w:rPr>
                <w:rFonts w:ascii="Times New Roman" w:hAnsi="Times New Roman"/>
                <w:sz w:val="18"/>
                <w:szCs w:val="18"/>
              </w:rPr>
            </w:pPr>
            <w:r>
              <w:rPr>
                <w:rFonts w:ascii="Times New Roman" w:hAnsi="Times New Roman"/>
                <w:sz w:val="18"/>
                <w:szCs w:val="18"/>
              </w:rPr>
              <w:t xml:space="preserve">3.2 </w:t>
            </w:r>
          </w:p>
          <w:p w:rsidR="00417BBC" w:rsidRPr="003C3367" w:rsidRDefault="00417BBC" w:rsidP="009061FA">
            <w:pPr>
              <w:spacing w:after="120" w:line="240" w:lineRule="auto"/>
              <w:jc w:val="center"/>
              <w:rPr>
                <w:rFonts w:ascii="Times New Roman" w:hAnsi="Times New Roman"/>
                <w:sz w:val="18"/>
                <w:szCs w:val="18"/>
              </w:rPr>
            </w:pPr>
            <w:r w:rsidRPr="003C3367">
              <w:rPr>
                <w:rFonts w:ascii="Times New Roman" w:hAnsi="Times New Roman"/>
                <w:sz w:val="18"/>
                <w:szCs w:val="18"/>
              </w:rPr>
              <w:t xml:space="preserve">Garantire un adeguato livello di sicurezza delle informazioni </w:t>
            </w:r>
            <w:r>
              <w:rPr>
                <w:rFonts w:ascii="Times New Roman" w:hAnsi="Times New Roman"/>
                <w:sz w:val="18"/>
                <w:szCs w:val="18"/>
              </w:rPr>
              <w:t>(</w:t>
            </w:r>
            <w:r w:rsidR="00175D7D">
              <w:rPr>
                <w:rFonts w:ascii="Times New Roman" w:hAnsi="Times New Roman"/>
                <w:sz w:val="18"/>
                <w:szCs w:val="18"/>
              </w:rPr>
              <w:t xml:space="preserve">Peso: </w:t>
            </w:r>
            <w:r>
              <w:rPr>
                <w:rFonts w:ascii="Times New Roman" w:hAnsi="Times New Roman"/>
                <w:sz w:val="18"/>
                <w:szCs w:val="18"/>
              </w:rPr>
              <w:t>50%)</w:t>
            </w:r>
          </w:p>
          <w:p w:rsidR="00417BBC" w:rsidRPr="00E63330" w:rsidRDefault="00417BBC" w:rsidP="009061FA">
            <w:pPr>
              <w:spacing w:after="120" w:line="240" w:lineRule="auto"/>
              <w:jc w:val="center"/>
              <w:rPr>
                <w:rFonts w:ascii="Times New Roman" w:hAnsi="Times New Roman"/>
                <w:sz w:val="20"/>
                <w:szCs w:val="20"/>
              </w:rPr>
            </w:pPr>
          </w:p>
          <w:p w:rsidR="00417BBC" w:rsidRPr="003C3367" w:rsidRDefault="00417BBC" w:rsidP="009061FA">
            <w:pPr>
              <w:spacing w:after="120" w:line="240" w:lineRule="auto"/>
              <w:jc w:val="center"/>
              <w:rPr>
                <w:rFonts w:ascii="Times New Roman" w:hAnsi="Times New Roman"/>
                <w:sz w:val="20"/>
                <w:szCs w:val="20"/>
              </w:rPr>
            </w:pPr>
          </w:p>
          <w:p w:rsidR="00417BBC" w:rsidRPr="003C3367" w:rsidRDefault="00417BBC" w:rsidP="00CB25F0">
            <w:pPr>
              <w:spacing w:after="120" w:line="240" w:lineRule="auto"/>
              <w:jc w:val="center"/>
              <w:rPr>
                <w:rFonts w:ascii="Times New Roman" w:hAnsi="Times New Roman"/>
                <w:sz w:val="18"/>
                <w:szCs w:val="18"/>
                <w:highlight w:val="yellow"/>
              </w:rPr>
            </w:pPr>
          </w:p>
        </w:tc>
        <w:tc>
          <w:tcPr>
            <w:tcW w:w="780" w:type="pct"/>
            <w:vMerge/>
          </w:tcPr>
          <w:p w:rsidR="00417BBC" w:rsidRPr="00E63330" w:rsidRDefault="00417BBC" w:rsidP="00055E4D">
            <w:pPr>
              <w:jc w:val="center"/>
              <w:rPr>
                <w:rFonts w:ascii="Times New Roman" w:hAnsi="Times New Roman"/>
                <w:sz w:val="18"/>
                <w:szCs w:val="18"/>
              </w:rPr>
            </w:pPr>
          </w:p>
        </w:tc>
        <w:tc>
          <w:tcPr>
            <w:tcW w:w="1160" w:type="pct"/>
            <w:vMerge/>
          </w:tcPr>
          <w:p w:rsidR="00417BBC" w:rsidRPr="00E63330" w:rsidRDefault="00417BBC" w:rsidP="00055E4D">
            <w:pPr>
              <w:tabs>
                <w:tab w:val="left" w:pos="287"/>
              </w:tabs>
              <w:spacing w:after="120"/>
              <w:jc w:val="both"/>
              <w:rPr>
                <w:rFonts w:ascii="Times New Roman" w:hAnsi="Times New Roman"/>
                <w:b/>
                <w:sz w:val="18"/>
                <w:szCs w:val="18"/>
                <w:u w:val="single"/>
              </w:rPr>
            </w:pPr>
          </w:p>
        </w:tc>
        <w:tc>
          <w:tcPr>
            <w:tcW w:w="1365" w:type="pct"/>
          </w:tcPr>
          <w:p w:rsidR="00417BBC" w:rsidRPr="00E63330" w:rsidRDefault="00417BBC" w:rsidP="00055E4D">
            <w:pPr>
              <w:tabs>
                <w:tab w:val="left" w:pos="287"/>
              </w:tabs>
              <w:spacing w:after="120"/>
              <w:jc w:val="both"/>
              <w:rPr>
                <w:rFonts w:ascii="Times New Roman" w:hAnsi="Times New Roman"/>
                <w:sz w:val="18"/>
                <w:szCs w:val="18"/>
              </w:rPr>
            </w:pPr>
            <w:r>
              <w:rPr>
                <w:rFonts w:ascii="Times New Roman" w:hAnsi="Times New Roman"/>
                <w:sz w:val="18"/>
                <w:szCs w:val="18"/>
              </w:rPr>
              <w:t>I.3.2.1 Grado di maturità riscontrato dall’Organismo di Certificazione &gt;= 3)</w:t>
            </w:r>
            <w:r>
              <w:rPr>
                <w:rFonts w:ascii="Times New Roman" w:hAnsi="Times New Roman"/>
                <w:i/>
                <w:sz w:val="18"/>
                <w:szCs w:val="18"/>
              </w:rPr>
              <w:t xml:space="preserve"> (Riscontrabile nella relazione prodotta dall’Organismo di Certificazione dei conti) </w:t>
            </w:r>
            <w:r>
              <w:rPr>
                <w:rFonts w:ascii="Times New Roman" w:hAnsi="Times New Roman"/>
                <w:sz w:val="18"/>
                <w:szCs w:val="18"/>
              </w:rPr>
              <w:t>(</w:t>
            </w:r>
            <w:r>
              <w:rPr>
                <w:rFonts w:ascii="Times New Roman" w:hAnsi="Times New Roman"/>
                <w:b/>
                <w:sz w:val="18"/>
                <w:szCs w:val="18"/>
                <w:u w:val="single"/>
              </w:rPr>
              <w:t>peso 100%</w:t>
            </w:r>
            <w:r>
              <w:rPr>
                <w:rFonts w:ascii="Times New Roman" w:hAnsi="Times New Roman"/>
                <w:sz w:val="18"/>
                <w:szCs w:val="18"/>
              </w:rPr>
              <w:t>)</w:t>
            </w:r>
          </w:p>
        </w:tc>
      </w:tr>
    </w:tbl>
    <w:p w:rsidR="005E3E4C" w:rsidRPr="00E63330" w:rsidRDefault="005E3E4C" w:rsidP="00AB3CB1">
      <w:pPr>
        <w:autoSpaceDE w:val="0"/>
        <w:autoSpaceDN w:val="0"/>
        <w:adjustRightInd w:val="0"/>
        <w:spacing w:after="0"/>
        <w:jc w:val="both"/>
        <w:rPr>
          <w:rFonts w:ascii="Times New Roman" w:hAnsi="Times New Roman"/>
          <w:sz w:val="24"/>
          <w:szCs w:val="24"/>
        </w:rPr>
      </w:pPr>
    </w:p>
    <w:p w:rsidR="003C2329" w:rsidRPr="00E63330" w:rsidRDefault="0096592E"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Di seguito viene riportato il dettaglio degli Uffici afferenti alle 4 Strutture Dirigenziali effettivamente coinvolti negli obiettivi operativi</w:t>
      </w:r>
      <w:r w:rsidRPr="003C3367">
        <w:rPr>
          <w:rFonts w:ascii="Times New Roman" w:hAnsi="Times New Roman"/>
          <w:sz w:val="24"/>
          <w:szCs w:val="24"/>
        </w:rPr>
        <w:t xml:space="preserve">: </w:t>
      </w:r>
    </w:p>
    <w:p w:rsidR="00594FB8" w:rsidRPr="00E63330" w:rsidRDefault="00594FB8"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3237"/>
        <w:gridCol w:w="3238"/>
      </w:tblGrid>
      <w:tr w:rsidR="00A469B2" w:rsidRPr="00E63330" w:rsidTr="00155746">
        <w:trPr>
          <w:trHeight w:val="254"/>
        </w:trPr>
        <w:tc>
          <w:tcPr>
            <w:tcW w:w="1666" w:type="pct"/>
            <w:shd w:val="clear" w:color="auto" w:fill="auto"/>
          </w:tcPr>
          <w:p w:rsidR="00A469B2" w:rsidRPr="00E63330" w:rsidRDefault="0096592E" w:rsidP="0015574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OPERATIVO</w:t>
            </w:r>
          </w:p>
        </w:tc>
        <w:tc>
          <w:tcPr>
            <w:tcW w:w="1666" w:type="pct"/>
            <w:shd w:val="clear" w:color="auto" w:fill="auto"/>
          </w:tcPr>
          <w:p w:rsidR="00A469B2" w:rsidRPr="00E63330" w:rsidRDefault="0096592E" w:rsidP="00AF57A6">
            <w:pPr>
              <w:spacing w:after="120"/>
              <w:jc w:val="center"/>
              <w:rPr>
                <w:rFonts w:ascii="Times New Roman" w:hAnsi="Times New Roman"/>
                <w:b/>
                <w:sz w:val="18"/>
                <w:szCs w:val="18"/>
              </w:rPr>
            </w:pPr>
            <w:r w:rsidRPr="003C3367">
              <w:rPr>
                <w:rFonts w:ascii="Times New Roman" w:hAnsi="Times New Roman"/>
                <w:b/>
                <w:sz w:val="18"/>
                <w:szCs w:val="18"/>
              </w:rPr>
              <w:t>STRUTTURA DIRIGENZIALE</w:t>
            </w:r>
          </w:p>
        </w:tc>
        <w:tc>
          <w:tcPr>
            <w:tcW w:w="1667" w:type="pct"/>
            <w:shd w:val="clear" w:color="auto" w:fill="auto"/>
          </w:tcPr>
          <w:p w:rsidR="00A469B2" w:rsidRPr="00E63330" w:rsidRDefault="0096592E" w:rsidP="000D33E5">
            <w:pPr>
              <w:spacing w:after="120"/>
              <w:jc w:val="center"/>
              <w:rPr>
                <w:rFonts w:ascii="Times New Roman" w:hAnsi="Times New Roman"/>
                <w:b/>
                <w:sz w:val="18"/>
                <w:szCs w:val="18"/>
              </w:rPr>
            </w:pPr>
            <w:r w:rsidRPr="003C3367">
              <w:rPr>
                <w:rFonts w:ascii="Times New Roman" w:hAnsi="Times New Roman"/>
                <w:b/>
                <w:sz w:val="18"/>
                <w:szCs w:val="18"/>
              </w:rPr>
              <w:t>UFFICI COINVOLTI</w:t>
            </w:r>
          </w:p>
        </w:tc>
      </w:tr>
      <w:tr w:rsidR="00E557B8" w:rsidRPr="00E63330" w:rsidTr="00155746">
        <w:trPr>
          <w:trHeight w:val="254"/>
        </w:trPr>
        <w:tc>
          <w:tcPr>
            <w:tcW w:w="1666" w:type="pct"/>
            <w:vMerge w:val="restart"/>
            <w:shd w:val="clear" w:color="auto" w:fill="auto"/>
          </w:tcPr>
          <w:p w:rsidR="00E557B8" w:rsidRPr="00E63330" w:rsidRDefault="0096592E" w:rsidP="00155746">
            <w:pPr>
              <w:autoSpaceDE w:val="0"/>
              <w:autoSpaceDN w:val="0"/>
              <w:adjustRightInd w:val="0"/>
              <w:spacing w:after="0"/>
              <w:jc w:val="center"/>
              <w:rPr>
                <w:rFonts w:ascii="Times New Roman" w:hAnsi="Times New Roman"/>
                <w:sz w:val="18"/>
                <w:szCs w:val="18"/>
              </w:rPr>
            </w:pPr>
            <w:bookmarkStart w:id="97" w:name="_Hlk505032786"/>
            <w:r w:rsidRPr="003C3367">
              <w:rPr>
                <w:rFonts w:ascii="Times New Roman" w:hAnsi="Times New Roman"/>
                <w:sz w:val="18"/>
                <w:szCs w:val="18"/>
              </w:rPr>
              <w:t>O.O. 1.1</w:t>
            </w:r>
          </w:p>
        </w:tc>
        <w:tc>
          <w:tcPr>
            <w:tcW w:w="1666" w:type="pct"/>
            <w:shd w:val="clear" w:color="auto" w:fill="auto"/>
          </w:tcPr>
          <w:p w:rsidR="00E557B8"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p w:rsidR="00E557B8" w:rsidRPr="003C3367" w:rsidRDefault="00E557B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F87D1B" w:rsidRPr="00E63330" w:rsidRDefault="0096592E" w:rsidP="000D33E5">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7845B2" w:rsidRPr="00E63330" w:rsidRDefault="0096592E" w:rsidP="00C05918">
            <w:pPr>
              <w:spacing w:after="120"/>
              <w:jc w:val="center"/>
              <w:rPr>
                <w:rFonts w:ascii="Times New Roman" w:hAnsi="Times New Roman"/>
                <w:sz w:val="18"/>
                <w:szCs w:val="18"/>
              </w:rPr>
            </w:pPr>
            <w:r w:rsidRPr="003C3367">
              <w:rPr>
                <w:rFonts w:ascii="Times New Roman" w:hAnsi="Times New Roman"/>
                <w:sz w:val="18"/>
                <w:szCs w:val="18"/>
              </w:rPr>
              <w:t>D1: Servizio di Controllo Interno</w:t>
            </w:r>
          </w:p>
          <w:p w:rsidR="007845B2"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D2: Affari Generali</w:t>
            </w:r>
          </w:p>
          <w:p w:rsidR="00A03FCF" w:rsidRPr="00E63330" w:rsidRDefault="00D12431" w:rsidP="00764D22">
            <w:pPr>
              <w:spacing w:after="120"/>
              <w:jc w:val="center"/>
              <w:rPr>
                <w:rFonts w:ascii="Times New Roman" w:hAnsi="Times New Roman"/>
                <w:sz w:val="18"/>
                <w:szCs w:val="18"/>
              </w:rPr>
            </w:pPr>
            <w:r w:rsidRPr="00D12431">
              <w:rPr>
                <w:rFonts w:ascii="Times New Roman" w:hAnsi="Times New Roman"/>
                <w:sz w:val="18"/>
                <w:szCs w:val="18"/>
              </w:rPr>
              <w:t xml:space="preserve">D3: </w:t>
            </w:r>
            <w:r w:rsidR="0096592E" w:rsidRPr="003C3367">
              <w:rPr>
                <w:rFonts w:ascii="Times New Roman" w:hAnsi="Times New Roman"/>
                <w:sz w:val="18"/>
                <w:szCs w:val="18"/>
              </w:rPr>
              <w:t>Ufficio Monitoraggio e Comunicazione</w:t>
            </w:r>
          </w:p>
          <w:p w:rsidR="00E557B8" w:rsidRDefault="0096592E" w:rsidP="00D53E78">
            <w:pPr>
              <w:spacing w:after="120"/>
              <w:jc w:val="center"/>
              <w:rPr>
                <w:rFonts w:ascii="Times New Roman" w:hAnsi="Times New Roman"/>
                <w:sz w:val="18"/>
                <w:szCs w:val="18"/>
              </w:rPr>
            </w:pPr>
            <w:r w:rsidRPr="003C3367">
              <w:rPr>
                <w:rFonts w:ascii="Times New Roman" w:hAnsi="Times New Roman"/>
                <w:sz w:val="18"/>
                <w:szCs w:val="18"/>
              </w:rPr>
              <w:t>D4: Servizio Informativo</w:t>
            </w:r>
          </w:p>
          <w:p w:rsidR="00A03FCF" w:rsidRPr="003C3367" w:rsidRDefault="00D12431" w:rsidP="00D12431">
            <w:pPr>
              <w:spacing w:after="120"/>
              <w:jc w:val="center"/>
              <w:rPr>
                <w:rFonts w:ascii="Times New Roman" w:hAnsi="Times New Roman"/>
                <w:sz w:val="18"/>
                <w:szCs w:val="18"/>
              </w:rPr>
            </w:pPr>
            <w:r w:rsidRPr="003C3367">
              <w:rPr>
                <w:rFonts w:ascii="Times New Roman" w:hAnsi="Times New Roman"/>
                <w:sz w:val="18"/>
                <w:szCs w:val="18"/>
              </w:rPr>
              <w:t>D</w:t>
            </w:r>
            <w:r>
              <w:rPr>
                <w:rFonts w:ascii="Times New Roman" w:hAnsi="Times New Roman"/>
                <w:sz w:val="18"/>
                <w:szCs w:val="18"/>
              </w:rPr>
              <w:t>5</w:t>
            </w:r>
            <w:r w:rsidRPr="003C3367">
              <w:rPr>
                <w:rFonts w:ascii="Times New Roman" w:hAnsi="Times New Roman"/>
                <w:sz w:val="18"/>
                <w:szCs w:val="18"/>
              </w:rPr>
              <w:t xml:space="preserve">: Segreteria di Direzione </w:t>
            </w:r>
          </w:p>
        </w:tc>
      </w:tr>
      <w:tr w:rsidR="00E557B8" w:rsidRPr="00E63330" w:rsidTr="00155746">
        <w:trPr>
          <w:trHeight w:val="252"/>
        </w:trPr>
        <w:tc>
          <w:tcPr>
            <w:tcW w:w="1666" w:type="pct"/>
            <w:vMerge/>
            <w:shd w:val="clear" w:color="auto" w:fill="auto"/>
          </w:tcPr>
          <w:p w:rsidR="00E557B8" w:rsidRPr="003C3367" w:rsidRDefault="00E557B8"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E557B8"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p w:rsidR="00E557B8" w:rsidRPr="003C3367" w:rsidRDefault="00E557B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A03FCF"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7845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9542D7"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A3: Sviluppo Rurale ARCEA</w:t>
            </w:r>
          </w:p>
        </w:tc>
      </w:tr>
      <w:tr w:rsidR="00E557B8" w:rsidRPr="00E63330" w:rsidTr="00155746">
        <w:trPr>
          <w:trHeight w:val="252"/>
        </w:trPr>
        <w:tc>
          <w:tcPr>
            <w:tcW w:w="1666" w:type="pct"/>
            <w:vMerge/>
            <w:shd w:val="clear" w:color="auto" w:fill="auto"/>
          </w:tcPr>
          <w:p w:rsidR="00E557B8" w:rsidRPr="003C3367" w:rsidRDefault="00E557B8"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E557B8"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p w:rsidR="00E557B8" w:rsidRPr="003C3367" w:rsidRDefault="00E557B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E557B8"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E1: Esecuzione Pagamenti</w:t>
            </w:r>
          </w:p>
        </w:tc>
      </w:tr>
      <w:tr w:rsidR="00E557B8" w:rsidRPr="00E63330" w:rsidTr="00155746">
        <w:trPr>
          <w:trHeight w:val="252"/>
        </w:trPr>
        <w:tc>
          <w:tcPr>
            <w:tcW w:w="1666" w:type="pct"/>
            <w:vMerge/>
            <w:shd w:val="clear" w:color="auto" w:fill="auto"/>
          </w:tcPr>
          <w:p w:rsidR="00E557B8" w:rsidRPr="003C3367" w:rsidRDefault="00E557B8"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E557B8"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Contabilizzazione</w:t>
            </w:r>
          </w:p>
          <w:p w:rsidR="00E557B8" w:rsidRPr="003C3367" w:rsidRDefault="00E557B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E557B8"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7845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bookmarkEnd w:id="97"/>
      <w:tr w:rsidR="00F40D38" w:rsidRPr="00E63330" w:rsidTr="00155746">
        <w:trPr>
          <w:trHeight w:val="252"/>
        </w:trPr>
        <w:tc>
          <w:tcPr>
            <w:tcW w:w="1666" w:type="pct"/>
            <w:vMerge w:val="restart"/>
            <w:shd w:val="clear" w:color="auto" w:fill="auto"/>
          </w:tcPr>
          <w:p w:rsidR="00F40D38"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lastRenderedPageBreak/>
              <w:t>O.O. 1.2</w:t>
            </w:r>
          </w:p>
        </w:tc>
        <w:tc>
          <w:tcPr>
            <w:tcW w:w="1666" w:type="pct"/>
            <w:shd w:val="clear" w:color="auto" w:fill="auto"/>
          </w:tcPr>
          <w:p w:rsidR="00F40D38"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F40D38" w:rsidRPr="00E63330" w:rsidRDefault="0096592E" w:rsidP="000D33E5">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F40D38" w:rsidRPr="00E63330" w:rsidRDefault="0096592E" w:rsidP="00F40D38">
            <w:pPr>
              <w:spacing w:after="120"/>
              <w:jc w:val="center"/>
              <w:rPr>
                <w:rFonts w:ascii="Times New Roman" w:hAnsi="Times New Roman"/>
                <w:sz w:val="18"/>
                <w:szCs w:val="18"/>
              </w:rPr>
            </w:pPr>
            <w:r w:rsidRPr="003C3367">
              <w:rPr>
                <w:rFonts w:ascii="Times New Roman" w:hAnsi="Times New Roman"/>
                <w:sz w:val="18"/>
                <w:szCs w:val="18"/>
              </w:rPr>
              <w:t>D1: Servizio di Controllo Interno</w:t>
            </w:r>
          </w:p>
        </w:tc>
      </w:tr>
      <w:tr w:rsidR="00F40D38" w:rsidRPr="00E63330" w:rsidTr="00155746">
        <w:trPr>
          <w:trHeight w:val="252"/>
        </w:trPr>
        <w:tc>
          <w:tcPr>
            <w:tcW w:w="1666" w:type="pct"/>
            <w:vMerge/>
            <w:shd w:val="clear" w:color="auto" w:fill="auto"/>
          </w:tcPr>
          <w:p w:rsidR="00F40D38" w:rsidRPr="003C3367" w:rsidRDefault="00F40D38"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F40D38" w:rsidRPr="00E63330" w:rsidRDefault="0096592E" w:rsidP="00F40D38">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tc>
        <w:tc>
          <w:tcPr>
            <w:tcW w:w="1667" w:type="pct"/>
            <w:shd w:val="clear" w:color="auto" w:fill="auto"/>
          </w:tcPr>
          <w:p w:rsidR="00F40D38" w:rsidRPr="00E63330" w:rsidRDefault="0096592E" w:rsidP="000D33E5">
            <w:pPr>
              <w:spacing w:after="120"/>
              <w:jc w:val="center"/>
              <w:rPr>
                <w:rFonts w:ascii="Times New Roman" w:hAnsi="Times New Roman"/>
                <w:sz w:val="18"/>
                <w:szCs w:val="18"/>
                <w:highlight w:val="yellow"/>
              </w:rPr>
            </w:pPr>
            <w:r w:rsidRPr="003C3367">
              <w:rPr>
                <w:rFonts w:ascii="Times New Roman" w:hAnsi="Times New Roman"/>
                <w:sz w:val="18"/>
                <w:szCs w:val="18"/>
              </w:rPr>
              <w:t>E2: Servizio Tecnico</w:t>
            </w:r>
          </w:p>
        </w:tc>
      </w:tr>
      <w:tr w:rsidR="007845B2" w:rsidRPr="00E63330" w:rsidTr="00155746">
        <w:trPr>
          <w:trHeight w:val="252"/>
        </w:trPr>
        <w:tc>
          <w:tcPr>
            <w:tcW w:w="1666" w:type="pct"/>
            <w:vMerge w:val="restart"/>
            <w:shd w:val="clear" w:color="auto" w:fill="auto"/>
          </w:tcPr>
          <w:p w:rsidR="007845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1.3</w:t>
            </w:r>
          </w:p>
        </w:tc>
        <w:tc>
          <w:tcPr>
            <w:tcW w:w="1666" w:type="pct"/>
            <w:shd w:val="clear" w:color="auto" w:fill="auto"/>
          </w:tcPr>
          <w:p w:rsidR="009542D7"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p w:rsidR="007845B2" w:rsidRPr="003C3367" w:rsidRDefault="007845B2"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B63012" w:rsidRPr="00E63330" w:rsidRDefault="0096592E" w:rsidP="000D33E5">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7845B2" w:rsidRPr="00E63330" w:rsidRDefault="0096592E" w:rsidP="00C05918">
            <w:pPr>
              <w:spacing w:after="120"/>
              <w:jc w:val="center"/>
              <w:rPr>
                <w:rFonts w:ascii="Times New Roman" w:hAnsi="Times New Roman"/>
                <w:sz w:val="18"/>
                <w:szCs w:val="18"/>
              </w:rPr>
            </w:pPr>
            <w:r w:rsidRPr="003C3367">
              <w:rPr>
                <w:rFonts w:ascii="Times New Roman" w:hAnsi="Times New Roman"/>
                <w:sz w:val="18"/>
                <w:szCs w:val="18"/>
              </w:rPr>
              <w:t>D1: Servizio di Controllo Interno</w:t>
            </w:r>
          </w:p>
        </w:tc>
      </w:tr>
      <w:tr w:rsidR="009542D7" w:rsidRPr="00E63330" w:rsidTr="00155746">
        <w:trPr>
          <w:trHeight w:val="252"/>
        </w:trPr>
        <w:tc>
          <w:tcPr>
            <w:tcW w:w="1666" w:type="pct"/>
            <w:vMerge/>
            <w:shd w:val="clear" w:color="auto" w:fill="auto"/>
          </w:tcPr>
          <w:p w:rsidR="009542D7" w:rsidRPr="003C3367" w:rsidRDefault="009542D7"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9542D7"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Contabilizzazione</w:t>
            </w:r>
          </w:p>
          <w:p w:rsidR="009542D7" w:rsidRPr="003C3367" w:rsidRDefault="009542D7"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9542D7"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9542D7"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tr w:rsidR="009542D7" w:rsidRPr="00E63330" w:rsidTr="00155746">
        <w:trPr>
          <w:trHeight w:val="252"/>
        </w:trPr>
        <w:tc>
          <w:tcPr>
            <w:tcW w:w="1666" w:type="pct"/>
            <w:shd w:val="clear" w:color="auto" w:fill="auto"/>
          </w:tcPr>
          <w:p w:rsidR="009542D7"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1.4</w:t>
            </w:r>
          </w:p>
        </w:tc>
        <w:tc>
          <w:tcPr>
            <w:tcW w:w="1666" w:type="pct"/>
            <w:shd w:val="clear" w:color="auto" w:fill="auto"/>
          </w:tcPr>
          <w:p w:rsidR="009542D7"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B63012"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9542D7"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D1: Servizio di Controllo Interno</w:t>
            </w:r>
          </w:p>
          <w:p w:rsidR="009542D7"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D4: Servizio Informativo</w:t>
            </w:r>
          </w:p>
        </w:tc>
      </w:tr>
      <w:tr w:rsidR="0086698B" w:rsidRPr="00E63330" w:rsidTr="0086698B">
        <w:trPr>
          <w:trHeight w:val="252"/>
        </w:trPr>
        <w:tc>
          <w:tcPr>
            <w:tcW w:w="1666" w:type="pct"/>
            <w:vMerge w:val="restart"/>
            <w:shd w:val="clear" w:color="auto" w:fill="auto"/>
          </w:tcPr>
          <w:p w:rsidR="0086698B"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1.5</w:t>
            </w:r>
          </w:p>
        </w:tc>
        <w:tc>
          <w:tcPr>
            <w:tcW w:w="1666" w:type="pct"/>
            <w:shd w:val="clear" w:color="auto" w:fill="auto"/>
          </w:tcPr>
          <w:p w:rsidR="0086698B"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86698B"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86698B"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D1: Servizio di Controllo Interno</w:t>
            </w:r>
          </w:p>
          <w:p w:rsidR="00D12431" w:rsidRDefault="0096592E" w:rsidP="00155746">
            <w:pPr>
              <w:spacing w:after="120"/>
              <w:jc w:val="center"/>
              <w:rPr>
                <w:rFonts w:ascii="Times New Roman" w:hAnsi="Times New Roman"/>
                <w:sz w:val="18"/>
                <w:szCs w:val="18"/>
              </w:rPr>
            </w:pPr>
            <w:r w:rsidRPr="003C3367">
              <w:rPr>
                <w:rFonts w:ascii="Times New Roman" w:hAnsi="Times New Roman"/>
                <w:sz w:val="18"/>
                <w:szCs w:val="18"/>
              </w:rPr>
              <w:t>D2: Affari Generali</w:t>
            </w:r>
            <w:r w:rsidR="00D12431" w:rsidRPr="00D12431">
              <w:rPr>
                <w:rFonts w:ascii="Times New Roman" w:hAnsi="Times New Roman"/>
                <w:sz w:val="18"/>
                <w:szCs w:val="18"/>
              </w:rPr>
              <w:t xml:space="preserve"> </w:t>
            </w:r>
          </w:p>
          <w:p w:rsidR="0086698B" w:rsidRPr="00E63330" w:rsidRDefault="00D12431" w:rsidP="00155746">
            <w:pPr>
              <w:spacing w:after="120"/>
              <w:jc w:val="center"/>
              <w:rPr>
                <w:rFonts w:ascii="Times New Roman" w:hAnsi="Times New Roman"/>
                <w:sz w:val="18"/>
                <w:szCs w:val="18"/>
              </w:rPr>
            </w:pPr>
            <w:r w:rsidRPr="00D12431">
              <w:rPr>
                <w:rFonts w:ascii="Times New Roman" w:hAnsi="Times New Roman"/>
                <w:sz w:val="18"/>
                <w:szCs w:val="18"/>
              </w:rPr>
              <w:t>D3:</w:t>
            </w:r>
            <w:r w:rsidRPr="003C3367">
              <w:rPr>
                <w:rFonts w:ascii="Times New Roman" w:hAnsi="Times New Roman"/>
                <w:sz w:val="18"/>
                <w:szCs w:val="18"/>
              </w:rPr>
              <w:t xml:space="preserve"> Ufficio Monitoraggio e Comunicazione</w:t>
            </w:r>
          </w:p>
          <w:p w:rsidR="0086698B"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D4: Servizio Informativo</w:t>
            </w:r>
          </w:p>
          <w:p w:rsidR="008E1592" w:rsidRPr="00D12431" w:rsidRDefault="0096592E" w:rsidP="00155746">
            <w:pPr>
              <w:spacing w:after="120"/>
              <w:jc w:val="center"/>
              <w:rPr>
                <w:rFonts w:ascii="Times New Roman" w:hAnsi="Times New Roman"/>
                <w:sz w:val="18"/>
                <w:szCs w:val="18"/>
              </w:rPr>
            </w:pPr>
            <w:r w:rsidRPr="003C3367">
              <w:rPr>
                <w:rFonts w:ascii="Times New Roman" w:hAnsi="Times New Roman"/>
                <w:sz w:val="18"/>
                <w:szCs w:val="18"/>
              </w:rPr>
              <w:t>D</w:t>
            </w:r>
            <w:r w:rsidR="00D12431" w:rsidRPr="00D12431">
              <w:rPr>
                <w:rFonts w:ascii="Times New Roman" w:hAnsi="Times New Roman"/>
                <w:sz w:val="18"/>
                <w:szCs w:val="18"/>
              </w:rPr>
              <w:t>5</w:t>
            </w:r>
            <w:r w:rsidRPr="003C3367">
              <w:rPr>
                <w:rFonts w:ascii="Times New Roman" w:hAnsi="Times New Roman"/>
                <w:sz w:val="18"/>
                <w:szCs w:val="18"/>
              </w:rPr>
              <w:t xml:space="preserve">: Segreteria di Direzione </w:t>
            </w:r>
          </w:p>
          <w:p w:rsidR="0086698B" w:rsidRPr="00E63330" w:rsidRDefault="0086698B" w:rsidP="00155746">
            <w:pPr>
              <w:spacing w:after="120"/>
              <w:jc w:val="center"/>
              <w:rPr>
                <w:rFonts w:ascii="Times New Roman" w:hAnsi="Times New Roman"/>
                <w:sz w:val="18"/>
                <w:szCs w:val="18"/>
              </w:rPr>
            </w:pPr>
          </w:p>
        </w:tc>
      </w:tr>
      <w:tr w:rsidR="006945D8" w:rsidRPr="00E63330" w:rsidTr="00F03D29">
        <w:trPr>
          <w:trHeight w:val="252"/>
        </w:trPr>
        <w:tc>
          <w:tcPr>
            <w:tcW w:w="1666" w:type="pct"/>
            <w:vMerge/>
            <w:shd w:val="clear" w:color="auto" w:fill="auto"/>
          </w:tcPr>
          <w:p w:rsidR="006945D8" w:rsidRPr="003C3367" w:rsidRDefault="006945D8"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6945D8"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p w:rsidR="006945D8" w:rsidRPr="003C3367" w:rsidRDefault="006945D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6945D8"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6945D8"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6945D8"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A3: Sviluppo Rurale ARCEA</w:t>
            </w:r>
          </w:p>
        </w:tc>
      </w:tr>
      <w:tr w:rsidR="006945D8" w:rsidRPr="00E63330" w:rsidTr="00F03D29">
        <w:trPr>
          <w:trHeight w:val="252"/>
        </w:trPr>
        <w:tc>
          <w:tcPr>
            <w:tcW w:w="1666" w:type="pct"/>
            <w:vMerge/>
            <w:shd w:val="clear" w:color="auto" w:fill="auto"/>
          </w:tcPr>
          <w:p w:rsidR="006945D8" w:rsidRPr="003C3367" w:rsidRDefault="006945D8"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6945D8"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p w:rsidR="006945D8" w:rsidRPr="003C3367" w:rsidRDefault="006945D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6945D8"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E1: Esecuzione Pagamenti</w:t>
            </w:r>
          </w:p>
        </w:tc>
      </w:tr>
      <w:tr w:rsidR="006945D8" w:rsidRPr="00E63330" w:rsidTr="00F03D29">
        <w:trPr>
          <w:trHeight w:val="252"/>
        </w:trPr>
        <w:tc>
          <w:tcPr>
            <w:tcW w:w="1666" w:type="pct"/>
            <w:vMerge/>
            <w:shd w:val="clear" w:color="auto" w:fill="auto"/>
          </w:tcPr>
          <w:p w:rsidR="006945D8" w:rsidRPr="003C3367" w:rsidRDefault="006945D8"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6945D8"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Contabilizzazione</w:t>
            </w:r>
          </w:p>
          <w:p w:rsidR="006945D8" w:rsidRPr="003C3367" w:rsidRDefault="006945D8"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6945D8"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6945D8"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C2: Ufficio Contenzioso Comunitario</w:t>
            </w:r>
          </w:p>
        </w:tc>
      </w:tr>
      <w:tr w:rsidR="009061FA" w:rsidRPr="00E63330" w:rsidTr="00CF3298">
        <w:trPr>
          <w:trHeight w:val="252"/>
        </w:trPr>
        <w:tc>
          <w:tcPr>
            <w:tcW w:w="1666" w:type="pct"/>
            <w:vMerge w:val="restart"/>
            <w:shd w:val="clear" w:color="auto" w:fill="auto"/>
          </w:tcPr>
          <w:p w:rsidR="009061FA"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1.6</w:t>
            </w:r>
          </w:p>
        </w:tc>
        <w:tc>
          <w:tcPr>
            <w:tcW w:w="1666" w:type="pct"/>
            <w:shd w:val="clear" w:color="auto" w:fill="auto"/>
          </w:tcPr>
          <w:p w:rsidR="009061FA"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9061FA"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9061FA"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D1: Servizio di Controllo Interno</w:t>
            </w:r>
          </w:p>
          <w:p w:rsidR="009061FA"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D2: Affari Generali</w:t>
            </w:r>
          </w:p>
          <w:p w:rsidR="009061FA"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D4: Servizio Informativo</w:t>
            </w:r>
          </w:p>
          <w:p w:rsidR="009061FA"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D3: Segreteria di Direzione - Ufficio Monitoraggio e Comunicazione</w:t>
            </w:r>
          </w:p>
        </w:tc>
      </w:tr>
      <w:tr w:rsidR="009061FA" w:rsidRPr="00E63330" w:rsidTr="00F03D29">
        <w:trPr>
          <w:trHeight w:val="252"/>
        </w:trPr>
        <w:tc>
          <w:tcPr>
            <w:tcW w:w="1666" w:type="pct"/>
            <w:vMerge/>
            <w:shd w:val="clear" w:color="auto" w:fill="auto"/>
          </w:tcPr>
          <w:p w:rsidR="009061FA" w:rsidRPr="003C3367" w:rsidRDefault="009061FA"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9061FA"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p w:rsidR="009061FA" w:rsidRPr="003C3367" w:rsidRDefault="009061FA"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9061FA"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9061FA"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9061FA"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A3: Sviluppo Rurale ARCEA</w:t>
            </w:r>
          </w:p>
        </w:tc>
      </w:tr>
      <w:tr w:rsidR="009061FA" w:rsidRPr="00E63330" w:rsidTr="00F03D29">
        <w:trPr>
          <w:trHeight w:val="252"/>
        </w:trPr>
        <w:tc>
          <w:tcPr>
            <w:tcW w:w="1666" w:type="pct"/>
            <w:vMerge/>
            <w:shd w:val="clear" w:color="auto" w:fill="auto"/>
          </w:tcPr>
          <w:p w:rsidR="009061FA" w:rsidRPr="003C3367" w:rsidRDefault="009061FA"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9061FA"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p w:rsidR="009061FA" w:rsidRPr="003C3367" w:rsidRDefault="009061FA"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9061FA"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E1: Esecuzione Pagamenti</w:t>
            </w:r>
          </w:p>
        </w:tc>
      </w:tr>
      <w:tr w:rsidR="009061FA" w:rsidRPr="00E63330" w:rsidTr="00F03D29">
        <w:trPr>
          <w:trHeight w:val="252"/>
        </w:trPr>
        <w:tc>
          <w:tcPr>
            <w:tcW w:w="1666" w:type="pct"/>
            <w:vMerge/>
            <w:shd w:val="clear" w:color="auto" w:fill="auto"/>
          </w:tcPr>
          <w:p w:rsidR="009061FA" w:rsidRPr="003C3367" w:rsidRDefault="009061FA" w:rsidP="00F03D29">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9061FA" w:rsidRPr="00E63330" w:rsidRDefault="0096592E" w:rsidP="00CF3298">
            <w:pPr>
              <w:spacing w:after="120"/>
              <w:jc w:val="center"/>
              <w:rPr>
                <w:rFonts w:ascii="Times New Roman" w:hAnsi="Times New Roman"/>
                <w:sz w:val="18"/>
                <w:szCs w:val="18"/>
              </w:rPr>
            </w:pPr>
            <w:r w:rsidRPr="003C3367">
              <w:rPr>
                <w:rFonts w:ascii="Times New Roman" w:hAnsi="Times New Roman"/>
                <w:sz w:val="18"/>
                <w:szCs w:val="18"/>
              </w:rPr>
              <w:t>Funzione Contabilizzazione</w:t>
            </w:r>
          </w:p>
          <w:p w:rsidR="009061FA" w:rsidRPr="003C3367" w:rsidRDefault="009061FA"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9061FA" w:rsidRPr="00E63330" w:rsidRDefault="0096592E" w:rsidP="00CF3298">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9061FA" w:rsidRPr="00E63330" w:rsidRDefault="0096592E" w:rsidP="00F03D29">
            <w:pPr>
              <w:spacing w:after="120"/>
              <w:jc w:val="center"/>
              <w:rPr>
                <w:rFonts w:ascii="Times New Roman" w:hAnsi="Times New Roman"/>
                <w:sz w:val="18"/>
                <w:szCs w:val="18"/>
              </w:rPr>
            </w:pPr>
            <w:r w:rsidRPr="003C3367">
              <w:rPr>
                <w:rFonts w:ascii="Times New Roman" w:hAnsi="Times New Roman"/>
                <w:sz w:val="18"/>
                <w:szCs w:val="18"/>
              </w:rPr>
              <w:t>C2: Ufficio Contenzioso Comunitario</w:t>
            </w:r>
          </w:p>
        </w:tc>
      </w:tr>
      <w:tr w:rsidR="00D751B2" w:rsidRPr="00E63330" w:rsidTr="00155746">
        <w:trPr>
          <w:trHeight w:val="252"/>
        </w:trPr>
        <w:tc>
          <w:tcPr>
            <w:tcW w:w="1666" w:type="pct"/>
            <w:vMerge w:val="restar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2.1</w:t>
            </w:r>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B63012" w:rsidRPr="00E63330" w:rsidRDefault="0096592E" w:rsidP="00155746">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137F7E" w:rsidRPr="003C3367" w:rsidRDefault="00137F7E" w:rsidP="00155746">
            <w:pPr>
              <w:autoSpaceDE w:val="0"/>
              <w:autoSpaceDN w:val="0"/>
              <w:adjustRightInd w:val="0"/>
              <w:spacing w:after="120"/>
              <w:contextualSpacing/>
              <w:jc w:val="center"/>
              <w:outlineLvl w:val="0"/>
              <w:rPr>
                <w:rFonts w:ascii="Times New Roman" w:hAnsi="Times New Roman"/>
                <w:sz w:val="18"/>
                <w:szCs w:val="18"/>
              </w:rPr>
            </w:pPr>
          </w:p>
        </w:tc>
      </w:tr>
      <w:tr w:rsidR="00D751B2" w:rsidRPr="00E63330" w:rsidTr="00155746">
        <w:trPr>
          <w:trHeight w:val="252"/>
        </w:trPr>
        <w:tc>
          <w:tcPr>
            <w:tcW w:w="1666" w:type="pct"/>
            <w:vMerge/>
            <w:shd w:val="clear" w:color="auto" w:fill="auto"/>
          </w:tcPr>
          <w:p w:rsidR="00D751B2" w:rsidRPr="003C3367" w:rsidRDefault="00D751B2" w:rsidP="00155746">
            <w:pPr>
              <w:autoSpaceDE w:val="0"/>
              <w:autoSpaceDN w:val="0"/>
              <w:adjustRightInd w:val="0"/>
              <w:spacing w:after="0"/>
              <w:contextualSpacing/>
              <w:jc w:val="center"/>
              <w:outlineLvl w:val="0"/>
              <w:rPr>
                <w:rFonts w:ascii="Times New Roman" w:hAnsi="Times New Roman"/>
                <w:sz w:val="18"/>
                <w:szCs w:val="18"/>
              </w:rPr>
            </w:pPr>
            <w:bookmarkStart w:id="98" w:name="_Hlk505032706"/>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tc>
        <w:tc>
          <w:tcPr>
            <w:tcW w:w="1667" w:type="pc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A3: Sviluppo Rurale ARCEA</w:t>
            </w:r>
          </w:p>
        </w:tc>
      </w:tr>
      <w:tr w:rsidR="00D751B2" w:rsidRPr="00E63330" w:rsidTr="00155746">
        <w:trPr>
          <w:trHeight w:val="252"/>
        </w:trPr>
        <w:tc>
          <w:tcPr>
            <w:tcW w:w="1666" w:type="pct"/>
            <w:vMerge/>
            <w:shd w:val="clear" w:color="auto" w:fill="auto"/>
          </w:tcPr>
          <w:p w:rsidR="00D751B2" w:rsidRPr="003C3367" w:rsidRDefault="00D751B2" w:rsidP="00155746">
            <w:pPr>
              <w:autoSpaceDE w:val="0"/>
              <w:autoSpaceDN w:val="0"/>
              <w:adjustRightInd w:val="0"/>
              <w:spacing w:after="0"/>
              <w:contextualSpacing/>
              <w:jc w:val="center"/>
              <w:outlineLvl w:val="0"/>
              <w:rPr>
                <w:rFonts w:ascii="Times New Roman" w:hAnsi="Times New Roman"/>
                <w:sz w:val="18"/>
                <w:szCs w:val="18"/>
              </w:rPr>
            </w:pPr>
            <w:bookmarkStart w:id="99" w:name="_Hlk505032716"/>
            <w:bookmarkEnd w:id="98"/>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tc>
        <w:tc>
          <w:tcPr>
            <w:tcW w:w="1667" w:type="pc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E1: Esecuzione Pagamenti</w:t>
            </w:r>
          </w:p>
          <w:p w:rsidR="00F40D38" w:rsidRPr="00E63330" w:rsidRDefault="0096592E" w:rsidP="00155746">
            <w:pPr>
              <w:autoSpaceDE w:val="0"/>
              <w:autoSpaceDN w:val="0"/>
              <w:adjustRightInd w:val="0"/>
              <w:spacing w:after="0"/>
              <w:jc w:val="center"/>
              <w:rPr>
                <w:rFonts w:ascii="Times New Roman" w:hAnsi="Times New Roman"/>
                <w:sz w:val="18"/>
                <w:szCs w:val="18"/>
              </w:rPr>
            </w:pPr>
            <w:bookmarkStart w:id="100" w:name="OLE_LINK103"/>
            <w:bookmarkStart w:id="101" w:name="OLE_LINK104"/>
            <w:r w:rsidRPr="003C3367">
              <w:rPr>
                <w:rFonts w:ascii="Times New Roman" w:hAnsi="Times New Roman"/>
                <w:sz w:val="18"/>
                <w:szCs w:val="18"/>
              </w:rPr>
              <w:t>E2: Servizio Tecnico</w:t>
            </w:r>
            <w:bookmarkEnd w:id="100"/>
            <w:bookmarkEnd w:id="101"/>
          </w:p>
        </w:tc>
      </w:tr>
      <w:tr w:rsidR="00D751B2" w:rsidRPr="00E63330" w:rsidTr="00155746">
        <w:trPr>
          <w:trHeight w:val="252"/>
        </w:trPr>
        <w:tc>
          <w:tcPr>
            <w:tcW w:w="1666" w:type="pct"/>
            <w:vMerge/>
            <w:shd w:val="clear" w:color="auto" w:fill="auto"/>
          </w:tcPr>
          <w:p w:rsidR="00D751B2" w:rsidRPr="003C3367" w:rsidRDefault="00D751B2" w:rsidP="00155746">
            <w:pPr>
              <w:autoSpaceDE w:val="0"/>
              <w:autoSpaceDN w:val="0"/>
              <w:adjustRightInd w:val="0"/>
              <w:spacing w:after="0"/>
              <w:contextualSpacing/>
              <w:jc w:val="center"/>
              <w:outlineLvl w:val="0"/>
              <w:rPr>
                <w:rFonts w:ascii="Times New Roman" w:hAnsi="Times New Roman"/>
                <w:sz w:val="18"/>
                <w:szCs w:val="18"/>
              </w:rPr>
            </w:pPr>
            <w:bookmarkStart w:id="102" w:name="_Hlk505032720"/>
            <w:bookmarkEnd w:id="99"/>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 xml:space="preserve">Funzione Contabilizzazione </w:t>
            </w:r>
          </w:p>
        </w:tc>
        <w:tc>
          <w:tcPr>
            <w:tcW w:w="1667" w:type="pc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bookmarkEnd w:id="102"/>
      <w:tr w:rsidR="00D751B2" w:rsidRPr="00E63330" w:rsidTr="00155746">
        <w:trPr>
          <w:trHeight w:val="252"/>
        </w:trPr>
        <w:tc>
          <w:tcPr>
            <w:tcW w:w="1666" w:type="pct"/>
            <w:vMerge w:val="restar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O.O. 2.2</w:t>
            </w:r>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p w:rsidR="00D751B2" w:rsidRPr="003C3367" w:rsidRDefault="00D751B2" w:rsidP="00AF57A6">
            <w:pPr>
              <w:autoSpaceDE w:val="0"/>
              <w:autoSpaceDN w:val="0"/>
              <w:adjustRightInd w:val="0"/>
              <w:spacing w:after="120"/>
              <w:contextualSpacing/>
              <w:jc w:val="center"/>
              <w:outlineLvl w:val="0"/>
              <w:rPr>
                <w:rFonts w:ascii="Times New Roman" w:hAnsi="Times New Roman"/>
                <w:sz w:val="18"/>
                <w:szCs w:val="18"/>
              </w:rPr>
            </w:pPr>
          </w:p>
        </w:tc>
        <w:tc>
          <w:tcPr>
            <w:tcW w:w="1667" w:type="pc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Direzione Generale</w:t>
            </w:r>
          </w:p>
          <w:p w:rsidR="00137F7E" w:rsidRPr="003C3367" w:rsidRDefault="00137F7E" w:rsidP="00155746">
            <w:pPr>
              <w:autoSpaceDE w:val="0"/>
              <w:autoSpaceDN w:val="0"/>
              <w:adjustRightInd w:val="0"/>
              <w:spacing w:after="0"/>
              <w:contextualSpacing/>
              <w:jc w:val="center"/>
              <w:outlineLvl w:val="0"/>
              <w:rPr>
                <w:rFonts w:ascii="Times New Roman" w:hAnsi="Times New Roman"/>
                <w:sz w:val="18"/>
                <w:szCs w:val="18"/>
              </w:rPr>
            </w:pPr>
          </w:p>
        </w:tc>
      </w:tr>
      <w:tr w:rsidR="00D751B2" w:rsidRPr="00E63330" w:rsidTr="00155746">
        <w:trPr>
          <w:trHeight w:val="252"/>
        </w:trPr>
        <w:tc>
          <w:tcPr>
            <w:tcW w:w="1666" w:type="pct"/>
            <w:vMerge/>
            <w:shd w:val="clear" w:color="auto" w:fill="auto"/>
          </w:tcPr>
          <w:p w:rsidR="00D751B2" w:rsidRPr="003C3367" w:rsidRDefault="00D751B2"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D751B2"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 xml:space="preserve">Funzione Contabilizzazione </w:t>
            </w:r>
          </w:p>
        </w:tc>
        <w:tc>
          <w:tcPr>
            <w:tcW w:w="1667" w:type="pct"/>
            <w:shd w:val="clear" w:color="auto" w:fill="auto"/>
          </w:tcPr>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D751B2" w:rsidRPr="00E63330" w:rsidRDefault="0096592E" w:rsidP="0015574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tr w:rsidR="00F40D38" w:rsidRPr="00E63330" w:rsidTr="00155746">
        <w:trPr>
          <w:trHeight w:val="252"/>
        </w:trPr>
        <w:tc>
          <w:tcPr>
            <w:tcW w:w="1666" w:type="pct"/>
            <w:shd w:val="clear" w:color="auto" w:fill="auto"/>
          </w:tcPr>
          <w:p w:rsidR="00F40D38" w:rsidRPr="003C3367" w:rsidRDefault="00F40D38" w:rsidP="00155746">
            <w:pPr>
              <w:autoSpaceDE w:val="0"/>
              <w:autoSpaceDN w:val="0"/>
              <w:adjustRightInd w:val="0"/>
              <w:spacing w:after="0"/>
              <w:contextualSpacing/>
              <w:jc w:val="center"/>
              <w:outlineLvl w:val="0"/>
              <w:rPr>
                <w:rFonts w:ascii="Times New Roman" w:hAnsi="Times New Roman"/>
                <w:sz w:val="18"/>
                <w:szCs w:val="18"/>
              </w:rPr>
            </w:pPr>
          </w:p>
        </w:tc>
        <w:tc>
          <w:tcPr>
            <w:tcW w:w="1666" w:type="pct"/>
            <w:shd w:val="clear" w:color="auto" w:fill="auto"/>
          </w:tcPr>
          <w:p w:rsidR="00F40D38" w:rsidRPr="00E63330" w:rsidRDefault="0096592E" w:rsidP="003C7FE5">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tc>
        <w:tc>
          <w:tcPr>
            <w:tcW w:w="1667" w:type="pct"/>
            <w:shd w:val="clear" w:color="auto" w:fill="auto"/>
          </w:tcPr>
          <w:p w:rsidR="00F40D38" w:rsidRPr="00E63330" w:rsidRDefault="0096592E" w:rsidP="003C7FE5">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E1: Esecuzione Pagamenti</w:t>
            </w:r>
          </w:p>
          <w:p w:rsidR="00F40D38" w:rsidRPr="00E63330" w:rsidRDefault="0096592E" w:rsidP="003C7FE5">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E2: Servizio Tecnico</w:t>
            </w:r>
          </w:p>
        </w:tc>
      </w:tr>
      <w:tr w:rsidR="003D4A1C" w:rsidRPr="00E63330" w:rsidTr="003D4A1C">
        <w:trPr>
          <w:trHeight w:val="235"/>
        </w:trPr>
        <w:tc>
          <w:tcPr>
            <w:tcW w:w="1666" w:type="pct"/>
            <w:vMerge w:val="restart"/>
            <w:shd w:val="clear" w:color="auto" w:fill="auto"/>
          </w:tcPr>
          <w:p w:rsidR="003D4A1C" w:rsidRPr="00E63330" w:rsidRDefault="0096592E" w:rsidP="00155746">
            <w:pPr>
              <w:autoSpaceDE w:val="0"/>
              <w:autoSpaceDN w:val="0"/>
              <w:adjustRightInd w:val="0"/>
              <w:jc w:val="center"/>
              <w:rPr>
                <w:rFonts w:ascii="Times New Roman" w:hAnsi="Times New Roman"/>
                <w:sz w:val="18"/>
                <w:szCs w:val="18"/>
              </w:rPr>
            </w:pPr>
            <w:bookmarkStart w:id="103" w:name="OLE_LINK130"/>
            <w:bookmarkStart w:id="104" w:name="OLE_LINK131"/>
            <w:bookmarkStart w:id="105" w:name="_Hlk505032816"/>
            <w:r w:rsidRPr="003C3367">
              <w:rPr>
                <w:rFonts w:ascii="Times New Roman" w:hAnsi="Times New Roman"/>
                <w:sz w:val="18"/>
                <w:szCs w:val="18"/>
              </w:rPr>
              <w:t>O.O. 3.1</w:t>
            </w:r>
            <w:bookmarkEnd w:id="103"/>
            <w:bookmarkEnd w:id="104"/>
          </w:p>
        </w:tc>
        <w:tc>
          <w:tcPr>
            <w:tcW w:w="1666" w:type="pct"/>
            <w:shd w:val="clear" w:color="auto" w:fill="auto"/>
          </w:tcPr>
          <w:p w:rsidR="003D4A1C" w:rsidRPr="00E63330" w:rsidRDefault="0096592E" w:rsidP="00AF57A6">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D1: Servizio di Controllo Interno</w:t>
            </w:r>
          </w:p>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D2: Affari Generali</w:t>
            </w:r>
          </w:p>
          <w:p w:rsidR="003D4A1C" w:rsidRPr="00E63330" w:rsidRDefault="00D12431" w:rsidP="008C6E12">
            <w:pPr>
              <w:spacing w:after="120"/>
              <w:jc w:val="center"/>
              <w:rPr>
                <w:rFonts w:ascii="Times New Roman" w:hAnsi="Times New Roman"/>
                <w:sz w:val="18"/>
                <w:szCs w:val="18"/>
              </w:rPr>
            </w:pPr>
            <w:r>
              <w:rPr>
                <w:rFonts w:ascii="Times New Roman" w:hAnsi="Times New Roman"/>
                <w:sz w:val="18"/>
                <w:szCs w:val="18"/>
              </w:rPr>
              <w:t>D3:</w:t>
            </w:r>
            <w:r w:rsidR="0096592E" w:rsidRPr="003C3367">
              <w:rPr>
                <w:rFonts w:ascii="Times New Roman" w:hAnsi="Times New Roman"/>
                <w:sz w:val="18"/>
                <w:szCs w:val="18"/>
              </w:rPr>
              <w:t xml:space="preserve"> Ufficio Monitoraggio e Comunicazione</w:t>
            </w:r>
          </w:p>
          <w:p w:rsidR="00D12431" w:rsidRDefault="0096592E" w:rsidP="00F83D0D">
            <w:pPr>
              <w:spacing w:after="120"/>
              <w:jc w:val="center"/>
              <w:rPr>
                <w:rFonts w:ascii="Times New Roman" w:hAnsi="Times New Roman"/>
                <w:sz w:val="18"/>
                <w:szCs w:val="18"/>
              </w:rPr>
            </w:pPr>
            <w:r w:rsidRPr="003C3367">
              <w:rPr>
                <w:rFonts w:ascii="Times New Roman" w:hAnsi="Times New Roman"/>
                <w:sz w:val="18"/>
                <w:szCs w:val="18"/>
              </w:rPr>
              <w:t>D4: Servizio Informativo</w:t>
            </w:r>
            <w:r w:rsidR="00D12431" w:rsidRPr="0096592E">
              <w:rPr>
                <w:rFonts w:ascii="Times New Roman" w:hAnsi="Times New Roman"/>
                <w:sz w:val="18"/>
                <w:szCs w:val="18"/>
              </w:rPr>
              <w:t xml:space="preserve"> </w:t>
            </w:r>
          </w:p>
          <w:p w:rsidR="003D4A1C" w:rsidRPr="00E63330" w:rsidRDefault="00D12431" w:rsidP="00D12431">
            <w:pPr>
              <w:spacing w:after="120"/>
              <w:jc w:val="center"/>
              <w:rPr>
                <w:rFonts w:ascii="Times New Roman" w:hAnsi="Times New Roman"/>
                <w:sz w:val="18"/>
                <w:szCs w:val="18"/>
              </w:rPr>
            </w:pPr>
            <w:r w:rsidRPr="003C3367">
              <w:rPr>
                <w:rFonts w:ascii="Times New Roman" w:hAnsi="Times New Roman"/>
                <w:sz w:val="18"/>
                <w:szCs w:val="18"/>
              </w:rPr>
              <w:t>D</w:t>
            </w:r>
            <w:r>
              <w:rPr>
                <w:rFonts w:ascii="Times New Roman" w:hAnsi="Times New Roman"/>
                <w:sz w:val="18"/>
                <w:szCs w:val="18"/>
              </w:rPr>
              <w:t>5</w:t>
            </w:r>
            <w:r w:rsidRPr="003C3367">
              <w:rPr>
                <w:rFonts w:ascii="Times New Roman" w:hAnsi="Times New Roman"/>
                <w:sz w:val="18"/>
                <w:szCs w:val="18"/>
              </w:rPr>
              <w:t>: Segreteria di Direzione</w:t>
            </w:r>
          </w:p>
        </w:tc>
      </w:tr>
      <w:tr w:rsidR="003D4A1C" w:rsidRPr="00E63330" w:rsidTr="00155746">
        <w:trPr>
          <w:trHeight w:val="233"/>
        </w:trPr>
        <w:tc>
          <w:tcPr>
            <w:tcW w:w="1666" w:type="pct"/>
            <w:vMerge/>
            <w:shd w:val="clear" w:color="auto" w:fill="auto"/>
          </w:tcPr>
          <w:p w:rsidR="003D4A1C" w:rsidRPr="003C3367" w:rsidRDefault="003D4A1C" w:rsidP="00155746">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A3: Sviluppo Rurale ARCEA</w:t>
            </w:r>
          </w:p>
        </w:tc>
      </w:tr>
      <w:tr w:rsidR="003D4A1C" w:rsidRPr="00E63330" w:rsidTr="003D4A1C">
        <w:trPr>
          <w:trHeight w:val="117"/>
        </w:trPr>
        <w:tc>
          <w:tcPr>
            <w:tcW w:w="1666" w:type="pct"/>
            <w:vMerge/>
            <w:shd w:val="clear" w:color="auto" w:fill="auto"/>
          </w:tcPr>
          <w:p w:rsidR="003D4A1C" w:rsidRPr="003C3367" w:rsidRDefault="003D4A1C" w:rsidP="00155746">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E1: Esecuzione Pagamenti</w:t>
            </w:r>
          </w:p>
          <w:p w:rsidR="00F40D38"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E2: Servizio Tecnico</w:t>
            </w:r>
          </w:p>
        </w:tc>
      </w:tr>
      <w:tr w:rsidR="003D4A1C" w:rsidRPr="00E63330" w:rsidTr="00155746">
        <w:trPr>
          <w:trHeight w:val="117"/>
        </w:trPr>
        <w:tc>
          <w:tcPr>
            <w:tcW w:w="1666" w:type="pct"/>
            <w:vMerge/>
            <w:shd w:val="clear" w:color="auto" w:fill="auto"/>
          </w:tcPr>
          <w:p w:rsidR="003D4A1C" w:rsidRPr="003C3367" w:rsidRDefault="003D4A1C" w:rsidP="00155746">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Contabilizzazione</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bookmarkEnd w:id="105"/>
      <w:tr w:rsidR="003D4A1C" w:rsidRPr="00E63330" w:rsidTr="00155746">
        <w:trPr>
          <w:trHeight w:val="233"/>
        </w:trPr>
        <w:tc>
          <w:tcPr>
            <w:tcW w:w="1666" w:type="pct"/>
            <w:vMerge w:val="restart"/>
            <w:shd w:val="clear" w:color="auto" w:fill="auto"/>
          </w:tcPr>
          <w:p w:rsidR="003D4A1C" w:rsidRPr="00E63330" w:rsidRDefault="0096592E" w:rsidP="003D4A1C">
            <w:pPr>
              <w:autoSpaceDE w:val="0"/>
              <w:autoSpaceDN w:val="0"/>
              <w:adjustRightInd w:val="0"/>
              <w:jc w:val="center"/>
              <w:rPr>
                <w:rFonts w:ascii="Times New Roman" w:hAnsi="Times New Roman"/>
                <w:sz w:val="18"/>
                <w:szCs w:val="18"/>
              </w:rPr>
            </w:pPr>
            <w:r w:rsidRPr="003C3367">
              <w:rPr>
                <w:rFonts w:ascii="Times New Roman" w:hAnsi="Times New Roman"/>
                <w:sz w:val="18"/>
                <w:szCs w:val="18"/>
              </w:rPr>
              <w:t>O.O. 3.2</w:t>
            </w: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Direzione</w:t>
            </w:r>
          </w:p>
        </w:tc>
        <w:tc>
          <w:tcPr>
            <w:tcW w:w="1667"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DG: Direzione Generale</w:t>
            </w:r>
          </w:p>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D1: Servizio di Controllo Interno</w:t>
            </w:r>
          </w:p>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D2: Affari Generali</w:t>
            </w:r>
          </w:p>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D3: Ufficio Monitoraggio e Comunicazione</w:t>
            </w:r>
          </w:p>
          <w:p w:rsidR="003D4A1C" w:rsidRDefault="0096592E" w:rsidP="00F83D0D">
            <w:pPr>
              <w:spacing w:after="120"/>
              <w:jc w:val="center"/>
              <w:rPr>
                <w:rFonts w:ascii="Times New Roman" w:hAnsi="Times New Roman"/>
                <w:sz w:val="18"/>
                <w:szCs w:val="18"/>
              </w:rPr>
            </w:pPr>
            <w:r w:rsidRPr="003C3367">
              <w:rPr>
                <w:rFonts w:ascii="Times New Roman" w:hAnsi="Times New Roman"/>
                <w:sz w:val="18"/>
                <w:szCs w:val="18"/>
              </w:rPr>
              <w:t>D4: Servizio Informativo</w:t>
            </w:r>
          </w:p>
          <w:p w:rsidR="00D12431" w:rsidRPr="00E63330" w:rsidRDefault="00D12431" w:rsidP="00F83D0D">
            <w:pPr>
              <w:spacing w:after="120"/>
              <w:jc w:val="center"/>
              <w:rPr>
                <w:rFonts w:ascii="Times New Roman" w:hAnsi="Times New Roman"/>
                <w:sz w:val="18"/>
                <w:szCs w:val="18"/>
              </w:rPr>
            </w:pPr>
            <w:r>
              <w:rPr>
                <w:rFonts w:ascii="Times New Roman" w:hAnsi="Times New Roman"/>
                <w:sz w:val="18"/>
                <w:szCs w:val="18"/>
              </w:rPr>
              <w:t xml:space="preserve">D5: </w:t>
            </w:r>
            <w:r w:rsidRPr="003C3367">
              <w:rPr>
                <w:rFonts w:ascii="Times New Roman" w:hAnsi="Times New Roman"/>
                <w:sz w:val="18"/>
                <w:szCs w:val="18"/>
              </w:rPr>
              <w:t xml:space="preserve">Segreteria di Direzione </w:t>
            </w:r>
          </w:p>
        </w:tc>
      </w:tr>
      <w:tr w:rsidR="003D4A1C" w:rsidRPr="00E63330" w:rsidTr="00155746">
        <w:tc>
          <w:tcPr>
            <w:tcW w:w="1666" w:type="pct"/>
            <w:vMerge/>
            <w:shd w:val="clear" w:color="auto" w:fill="auto"/>
          </w:tcPr>
          <w:p w:rsidR="003D4A1C" w:rsidRPr="003C3367" w:rsidRDefault="003D4A1C" w:rsidP="008C6E12">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Autorizzazione dei pagamenti</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A1: Ufficio Funzioni di Supporto</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A2: Coordinamento dei Pagamenti Fondo FEAGA</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A3: Sviluppo Rurale ARCEA</w:t>
            </w:r>
          </w:p>
        </w:tc>
      </w:tr>
      <w:tr w:rsidR="003D4A1C" w:rsidRPr="00E63330" w:rsidTr="00155746">
        <w:tc>
          <w:tcPr>
            <w:tcW w:w="1666" w:type="pct"/>
            <w:vMerge/>
            <w:shd w:val="clear" w:color="auto" w:fill="auto"/>
          </w:tcPr>
          <w:p w:rsidR="003D4A1C" w:rsidRPr="003C3367" w:rsidRDefault="003D4A1C" w:rsidP="008C6E12">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Esecuzione dei Pagamenti</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E1: Esecuzione Pagamenti</w:t>
            </w:r>
          </w:p>
          <w:p w:rsidR="00F40D38"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E2: Servizio Tecnico</w:t>
            </w:r>
          </w:p>
        </w:tc>
      </w:tr>
      <w:tr w:rsidR="003D4A1C" w:rsidRPr="00E63330" w:rsidTr="00155746">
        <w:tc>
          <w:tcPr>
            <w:tcW w:w="1666" w:type="pct"/>
            <w:vMerge/>
            <w:shd w:val="clear" w:color="auto" w:fill="auto"/>
          </w:tcPr>
          <w:p w:rsidR="003D4A1C" w:rsidRPr="003C3367" w:rsidRDefault="003D4A1C" w:rsidP="008C6E12">
            <w:pPr>
              <w:autoSpaceDE w:val="0"/>
              <w:autoSpaceDN w:val="0"/>
              <w:adjustRightInd w:val="0"/>
              <w:contextualSpacing/>
              <w:jc w:val="center"/>
              <w:outlineLvl w:val="0"/>
              <w:rPr>
                <w:rFonts w:ascii="Times New Roman" w:hAnsi="Times New Roman"/>
                <w:sz w:val="18"/>
                <w:szCs w:val="18"/>
              </w:rPr>
            </w:pPr>
          </w:p>
        </w:tc>
        <w:tc>
          <w:tcPr>
            <w:tcW w:w="1666" w:type="pct"/>
            <w:shd w:val="clear" w:color="auto" w:fill="auto"/>
          </w:tcPr>
          <w:p w:rsidR="003D4A1C" w:rsidRPr="00E63330" w:rsidRDefault="0096592E" w:rsidP="008C6E12">
            <w:pPr>
              <w:spacing w:after="120"/>
              <w:jc w:val="center"/>
              <w:rPr>
                <w:rFonts w:ascii="Times New Roman" w:hAnsi="Times New Roman"/>
                <w:sz w:val="18"/>
                <w:szCs w:val="18"/>
              </w:rPr>
            </w:pPr>
            <w:r w:rsidRPr="003C3367">
              <w:rPr>
                <w:rFonts w:ascii="Times New Roman" w:hAnsi="Times New Roman"/>
                <w:sz w:val="18"/>
                <w:szCs w:val="18"/>
              </w:rPr>
              <w:t>Funzione Contabilizzazione</w:t>
            </w:r>
          </w:p>
        </w:tc>
        <w:tc>
          <w:tcPr>
            <w:tcW w:w="1667" w:type="pct"/>
            <w:shd w:val="clear" w:color="auto" w:fill="auto"/>
          </w:tcPr>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C1: Contabilizzazione</w:t>
            </w:r>
          </w:p>
          <w:p w:rsidR="003D4A1C" w:rsidRPr="00E63330" w:rsidRDefault="0096592E" w:rsidP="008C6E12">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C2: Ufficio Contenzioso Comunitario</w:t>
            </w:r>
          </w:p>
        </w:tc>
      </w:tr>
    </w:tbl>
    <w:p w:rsidR="003C2329" w:rsidRPr="00E63330" w:rsidRDefault="003C2329" w:rsidP="00AB3CB1">
      <w:pPr>
        <w:autoSpaceDE w:val="0"/>
        <w:autoSpaceDN w:val="0"/>
        <w:adjustRightInd w:val="0"/>
        <w:spacing w:after="0"/>
        <w:jc w:val="both"/>
        <w:rPr>
          <w:rFonts w:ascii="Times New Roman" w:hAnsi="Times New Roman"/>
          <w:sz w:val="24"/>
          <w:szCs w:val="24"/>
        </w:rPr>
      </w:pPr>
    </w:p>
    <w:p w:rsidR="00BC623E" w:rsidRPr="00E63330" w:rsidRDefault="0096592E" w:rsidP="00AB3CB1">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Ambiti/Obiettivi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3236"/>
        <w:gridCol w:w="3237"/>
      </w:tblGrid>
      <w:tr w:rsidR="00D37B47" w:rsidRPr="00E63330" w:rsidTr="00446BFA">
        <w:tc>
          <w:tcPr>
            <w:tcW w:w="3259" w:type="dxa"/>
          </w:tcPr>
          <w:p w:rsidR="00853626"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Ambito di performance</w:t>
            </w:r>
          </w:p>
          <w:p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 (art. 8 D.lgs. n. 150/2009)</w:t>
            </w:r>
          </w:p>
        </w:tc>
        <w:tc>
          <w:tcPr>
            <w:tcW w:w="3259" w:type="dxa"/>
          </w:tcPr>
          <w:p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strategico</w:t>
            </w:r>
          </w:p>
        </w:tc>
        <w:tc>
          <w:tcPr>
            <w:tcW w:w="3260" w:type="dxa"/>
          </w:tcPr>
          <w:p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operativo</w:t>
            </w:r>
          </w:p>
        </w:tc>
      </w:tr>
      <w:tr w:rsidR="00D37B47" w:rsidRPr="00E63330" w:rsidTr="00446BFA">
        <w:tc>
          <w:tcPr>
            <w:tcW w:w="3259" w:type="dxa"/>
            <w:vAlign w:val="center"/>
          </w:tcPr>
          <w:p w:rsidR="00D37B47" w:rsidRPr="00E63330" w:rsidRDefault="0096592E" w:rsidP="00446BFA">
            <w:pPr>
              <w:autoSpaceDE w:val="0"/>
              <w:autoSpaceDN w:val="0"/>
              <w:adjustRightInd w:val="0"/>
              <w:spacing w:after="0"/>
              <w:rPr>
                <w:rFonts w:ascii="Times New Roman" w:hAnsi="Times New Roman"/>
                <w:b/>
                <w:sz w:val="18"/>
                <w:szCs w:val="18"/>
              </w:rPr>
            </w:pPr>
            <w:bookmarkStart w:id="106" w:name="OLE_LINK39"/>
            <w:bookmarkStart w:id="107" w:name="OLE_LINK40"/>
            <w:r w:rsidRPr="003C3367">
              <w:rPr>
                <w:rFonts w:ascii="Times New Roman" w:hAnsi="Times New Roman"/>
                <w:b/>
                <w:sz w:val="18"/>
                <w:szCs w:val="18"/>
              </w:rPr>
              <w:t>Lettera a</w:t>
            </w:r>
            <w:bookmarkEnd w:id="106"/>
            <w:bookmarkEnd w:id="107"/>
            <w:r w:rsidRPr="003C3367">
              <w:rPr>
                <w:rFonts w:ascii="Times New Roman" w:hAnsi="Times New Roman"/>
                <w:b/>
                <w:sz w:val="18"/>
                <w:szCs w:val="18"/>
              </w:rPr>
              <w:t>)</w:t>
            </w:r>
          </w:p>
        </w:tc>
        <w:tc>
          <w:tcPr>
            <w:tcW w:w="3259"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D37B47" w:rsidRPr="00E63330" w:rsidTr="00446BFA">
        <w:trPr>
          <w:trHeight w:val="311"/>
        </w:trPr>
        <w:tc>
          <w:tcPr>
            <w:tcW w:w="3259" w:type="dxa"/>
            <w:vAlign w:val="center"/>
          </w:tcPr>
          <w:p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b)</w:t>
            </w:r>
          </w:p>
        </w:tc>
        <w:tc>
          <w:tcPr>
            <w:tcW w:w="3259"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1.2</w:t>
            </w:r>
          </w:p>
        </w:tc>
      </w:tr>
      <w:tr w:rsidR="00D37B47" w:rsidRPr="00E63330" w:rsidTr="00446BFA">
        <w:tc>
          <w:tcPr>
            <w:tcW w:w="3259" w:type="dxa"/>
            <w:vAlign w:val="center"/>
          </w:tcPr>
          <w:p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c)</w:t>
            </w:r>
          </w:p>
        </w:tc>
        <w:tc>
          <w:tcPr>
            <w:tcW w:w="3259"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0D2B3F" w:rsidRPr="00E63330" w:rsidTr="00446BFA">
        <w:trPr>
          <w:trHeight w:val="142"/>
        </w:trPr>
        <w:tc>
          <w:tcPr>
            <w:tcW w:w="3259" w:type="dxa"/>
            <w:vAlign w:val="center"/>
          </w:tcPr>
          <w:p w:rsidR="000D2B3F" w:rsidRPr="00E63330" w:rsidRDefault="0096592E" w:rsidP="00853626">
            <w:pPr>
              <w:rPr>
                <w:rFonts w:ascii="Times New Roman" w:hAnsi="Times New Roman"/>
                <w:b/>
                <w:sz w:val="18"/>
                <w:szCs w:val="18"/>
              </w:rPr>
            </w:pPr>
            <w:bookmarkStart w:id="108" w:name="_Hlk409684303"/>
            <w:r w:rsidRPr="003C3367">
              <w:rPr>
                <w:rFonts w:ascii="Times New Roman" w:hAnsi="Times New Roman"/>
                <w:b/>
                <w:sz w:val="18"/>
                <w:szCs w:val="18"/>
              </w:rPr>
              <w:t>Lettera d)</w:t>
            </w:r>
          </w:p>
        </w:tc>
        <w:tc>
          <w:tcPr>
            <w:tcW w:w="3259" w:type="dxa"/>
          </w:tcPr>
          <w:p w:rsidR="000D2B3F"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0D2B3F"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w:t>
            </w:r>
          </w:p>
        </w:tc>
      </w:tr>
      <w:bookmarkEnd w:id="108"/>
      <w:tr w:rsidR="00D37B47" w:rsidRPr="00E63330" w:rsidTr="00446BFA">
        <w:tc>
          <w:tcPr>
            <w:tcW w:w="3259" w:type="dxa"/>
            <w:vAlign w:val="center"/>
          </w:tcPr>
          <w:p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e)</w:t>
            </w:r>
          </w:p>
        </w:tc>
        <w:tc>
          <w:tcPr>
            <w:tcW w:w="3259"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 – 1.5</w:t>
            </w:r>
          </w:p>
        </w:tc>
      </w:tr>
      <w:tr w:rsidR="00C7001D" w:rsidRPr="00E63330" w:rsidTr="00446BFA">
        <w:trPr>
          <w:trHeight w:val="142"/>
        </w:trPr>
        <w:tc>
          <w:tcPr>
            <w:tcW w:w="3259" w:type="dxa"/>
            <w:vMerge w:val="restart"/>
            <w:vAlign w:val="center"/>
          </w:tcPr>
          <w:p w:rsidR="00C7001D" w:rsidRPr="00E63330" w:rsidRDefault="0096592E" w:rsidP="00853626">
            <w:pPr>
              <w:rPr>
                <w:rFonts w:ascii="Times New Roman" w:hAnsi="Times New Roman"/>
                <w:b/>
                <w:sz w:val="18"/>
                <w:szCs w:val="18"/>
              </w:rPr>
            </w:pPr>
            <w:r w:rsidRPr="003C3367">
              <w:rPr>
                <w:rFonts w:ascii="Times New Roman" w:hAnsi="Times New Roman"/>
                <w:b/>
                <w:sz w:val="18"/>
                <w:szCs w:val="18"/>
              </w:rPr>
              <w:t>Lettera f)</w:t>
            </w: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C7001D" w:rsidRPr="00E63330" w:rsidRDefault="0096592E" w:rsidP="00446BFA">
            <w:pPr>
              <w:autoSpaceDE w:val="0"/>
              <w:autoSpaceDN w:val="0"/>
              <w:adjustRightInd w:val="0"/>
              <w:spacing w:after="0"/>
              <w:jc w:val="both"/>
              <w:rPr>
                <w:rFonts w:ascii="Times New Roman" w:hAnsi="Times New Roman"/>
                <w:sz w:val="18"/>
                <w:szCs w:val="18"/>
              </w:rPr>
            </w:pPr>
            <w:bookmarkStart w:id="109" w:name="OLE_LINK43"/>
            <w:r w:rsidRPr="003C3367">
              <w:rPr>
                <w:rFonts w:ascii="Times New Roman" w:hAnsi="Times New Roman"/>
                <w:sz w:val="18"/>
                <w:szCs w:val="18"/>
              </w:rPr>
              <w:t>1.1</w:t>
            </w:r>
            <w:bookmarkEnd w:id="109"/>
            <w:r w:rsidRPr="003C3367">
              <w:rPr>
                <w:rFonts w:ascii="Times New Roman" w:hAnsi="Times New Roman"/>
                <w:sz w:val="18"/>
                <w:szCs w:val="18"/>
              </w:rPr>
              <w:t xml:space="preserve"> – 1.3 – 1.4</w:t>
            </w:r>
          </w:p>
        </w:tc>
      </w:tr>
      <w:tr w:rsidR="00C7001D" w:rsidRPr="00E63330" w:rsidTr="00446BFA">
        <w:trPr>
          <w:trHeight w:val="142"/>
        </w:trPr>
        <w:tc>
          <w:tcPr>
            <w:tcW w:w="3259" w:type="dxa"/>
            <w:vMerge/>
            <w:vAlign w:val="center"/>
          </w:tcPr>
          <w:p w:rsidR="00C7001D" w:rsidRPr="003C3367" w:rsidRDefault="00C7001D" w:rsidP="00853626">
            <w:pPr>
              <w:autoSpaceDE w:val="0"/>
              <w:autoSpaceDN w:val="0"/>
              <w:adjustRightInd w:val="0"/>
              <w:outlineLvl w:val="2"/>
              <w:rPr>
                <w:rFonts w:ascii="Times New Roman" w:hAnsi="Times New Roman"/>
                <w:b/>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w:t>
            </w:r>
          </w:p>
        </w:tc>
        <w:tc>
          <w:tcPr>
            <w:tcW w:w="3260"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2.1 – 2.2</w:t>
            </w:r>
          </w:p>
        </w:tc>
      </w:tr>
      <w:tr w:rsidR="00C7001D" w:rsidRPr="00E63330" w:rsidTr="00446BFA">
        <w:trPr>
          <w:trHeight w:val="142"/>
        </w:trPr>
        <w:tc>
          <w:tcPr>
            <w:tcW w:w="3259" w:type="dxa"/>
            <w:vMerge/>
            <w:vAlign w:val="center"/>
          </w:tcPr>
          <w:p w:rsidR="00C7001D" w:rsidRPr="003C3367" w:rsidRDefault="00C7001D" w:rsidP="00853626">
            <w:pPr>
              <w:autoSpaceDE w:val="0"/>
              <w:autoSpaceDN w:val="0"/>
              <w:adjustRightInd w:val="0"/>
              <w:outlineLvl w:val="2"/>
              <w:rPr>
                <w:rFonts w:ascii="Times New Roman" w:hAnsi="Times New Roman"/>
                <w:b/>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260"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3.1 – 3.2</w:t>
            </w:r>
          </w:p>
        </w:tc>
      </w:tr>
      <w:tr w:rsidR="00C7001D" w:rsidRPr="00E63330" w:rsidTr="00446BFA">
        <w:trPr>
          <w:trHeight w:val="142"/>
        </w:trPr>
        <w:tc>
          <w:tcPr>
            <w:tcW w:w="3259" w:type="dxa"/>
            <w:vMerge w:val="restart"/>
            <w:vAlign w:val="center"/>
          </w:tcPr>
          <w:p w:rsidR="00C7001D" w:rsidRPr="00E63330" w:rsidRDefault="0096592E" w:rsidP="00853626">
            <w:pPr>
              <w:rPr>
                <w:rFonts w:ascii="Times New Roman" w:hAnsi="Times New Roman"/>
                <w:b/>
                <w:sz w:val="18"/>
                <w:szCs w:val="18"/>
              </w:rPr>
            </w:pPr>
            <w:r w:rsidRPr="003C3367">
              <w:rPr>
                <w:rFonts w:ascii="Times New Roman" w:hAnsi="Times New Roman"/>
                <w:b/>
                <w:sz w:val="18"/>
                <w:szCs w:val="18"/>
              </w:rPr>
              <w:lastRenderedPageBreak/>
              <w:t>Lettera g)</w:t>
            </w: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C7001D" w:rsidRPr="00E63330" w:rsidRDefault="0096592E">
            <w:pPr>
              <w:rPr>
                <w:rFonts w:ascii="Times New Roman" w:hAnsi="Times New Roman"/>
                <w:sz w:val="18"/>
                <w:szCs w:val="18"/>
              </w:rPr>
            </w:pPr>
            <w:r w:rsidRPr="003C3367">
              <w:rPr>
                <w:rFonts w:ascii="Times New Roman" w:hAnsi="Times New Roman"/>
                <w:sz w:val="18"/>
                <w:szCs w:val="18"/>
              </w:rPr>
              <w:t>1.1 – 1.2 – 1.3 – 1.4 – 1.5 – 1.6</w:t>
            </w:r>
          </w:p>
        </w:tc>
      </w:tr>
      <w:tr w:rsidR="00C7001D" w:rsidRPr="00E63330" w:rsidTr="00446BFA">
        <w:trPr>
          <w:trHeight w:val="142"/>
        </w:trPr>
        <w:tc>
          <w:tcPr>
            <w:tcW w:w="3259" w:type="dxa"/>
            <w:vMerge/>
            <w:vAlign w:val="center"/>
          </w:tcPr>
          <w:p w:rsidR="00C7001D" w:rsidRPr="00E63330" w:rsidRDefault="00C7001D" w:rsidP="00853626">
            <w:pPr>
              <w:rPr>
                <w:rFonts w:ascii="Times New Roman" w:hAnsi="Times New Roman"/>
                <w:b/>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w:t>
            </w:r>
          </w:p>
        </w:tc>
        <w:tc>
          <w:tcPr>
            <w:tcW w:w="3260" w:type="dxa"/>
          </w:tcPr>
          <w:p w:rsidR="00C7001D" w:rsidRPr="00E63330" w:rsidRDefault="0096592E">
            <w:pPr>
              <w:rPr>
                <w:rFonts w:ascii="Times New Roman" w:hAnsi="Times New Roman"/>
                <w:sz w:val="18"/>
                <w:szCs w:val="18"/>
              </w:rPr>
            </w:pPr>
            <w:r w:rsidRPr="003C3367">
              <w:rPr>
                <w:rFonts w:ascii="Times New Roman" w:hAnsi="Times New Roman"/>
                <w:sz w:val="18"/>
                <w:szCs w:val="18"/>
              </w:rPr>
              <w:t>2.1 – 2.2</w:t>
            </w:r>
          </w:p>
        </w:tc>
      </w:tr>
      <w:tr w:rsidR="00C7001D" w:rsidRPr="00E63330" w:rsidTr="00446BFA">
        <w:trPr>
          <w:trHeight w:val="142"/>
        </w:trPr>
        <w:tc>
          <w:tcPr>
            <w:tcW w:w="3259" w:type="dxa"/>
            <w:vMerge/>
            <w:vAlign w:val="center"/>
          </w:tcPr>
          <w:p w:rsidR="00C7001D" w:rsidRPr="00E63330" w:rsidRDefault="00C7001D" w:rsidP="00853626">
            <w:pPr>
              <w:rPr>
                <w:rFonts w:ascii="Times New Roman" w:hAnsi="Times New Roman"/>
                <w:b/>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260" w:type="dxa"/>
          </w:tcPr>
          <w:p w:rsidR="00C7001D" w:rsidRPr="00E63330" w:rsidRDefault="0096592E" w:rsidP="00920420">
            <w:pPr>
              <w:rPr>
                <w:rFonts w:ascii="Times New Roman" w:hAnsi="Times New Roman"/>
                <w:sz w:val="18"/>
                <w:szCs w:val="18"/>
              </w:rPr>
            </w:pPr>
            <w:r w:rsidRPr="003C3367">
              <w:rPr>
                <w:rFonts w:ascii="Times New Roman" w:hAnsi="Times New Roman"/>
                <w:sz w:val="18"/>
                <w:szCs w:val="18"/>
              </w:rPr>
              <w:t>3.1 – 3.2</w:t>
            </w:r>
          </w:p>
        </w:tc>
      </w:tr>
      <w:tr w:rsidR="00C7001D" w:rsidRPr="00E63330" w:rsidTr="00446BFA">
        <w:trPr>
          <w:trHeight w:val="142"/>
        </w:trPr>
        <w:tc>
          <w:tcPr>
            <w:tcW w:w="3259" w:type="dxa"/>
            <w:vMerge w:val="restart"/>
            <w:vAlign w:val="center"/>
          </w:tcPr>
          <w:p w:rsidR="00C7001D" w:rsidRPr="00E63330" w:rsidRDefault="0096592E" w:rsidP="00853626">
            <w:pPr>
              <w:rPr>
                <w:rFonts w:ascii="Times New Roman" w:hAnsi="Times New Roman"/>
                <w:b/>
                <w:sz w:val="18"/>
                <w:szCs w:val="18"/>
              </w:rPr>
            </w:pPr>
            <w:r w:rsidRPr="003C3367">
              <w:rPr>
                <w:rFonts w:ascii="Times New Roman" w:hAnsi="Times New Roman"/>
                <w:b/>
                <w:sz w:val="18"/>
                <w:szCs w:val="18"/>
              </w:rPr>
              <w:t>Lettera h)</w:t>
            </w: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260" w:type="dxa"/>
          </w:tcPr>
          <w:p w:rsidR="00C7001D" w:rsidRPr="00E63330" w:rsidRDefault="0096592E">
            <w:pPr>
              <w:rPr>
                <w:rFonts w:ascii="Times New Roman" w:hAnsi="Times New Roman"/>
                <w:sz w:val="18"/>
                <w:szCs w:val="18"/>
              </w:rPr>
            </w:pPr>
            <w:r w:rsidRPr="003C3367">
              <w:rPr>
                <w:rFonts w:ascii="Times New Roman" w:hAnsi="Times New Roman"/>
                <w:sz w:val="18"/>
                <w:szCs w:val="18"/>
              </w:rPr>
              <w:t>1.1 – 1.2 – 1.3 – 1.5 – 1.6</w:t>
            </w:r>
          </w:p>
        </w:tc>
      </w:tr>
      <w:tr w:rsidR="00C7001D" w:rsidRPr="00E63330" w:rsidTr="00446BFA">
        <w:trPr>
          <w:trHeight w:val="142"/>
        </w:trPr>
        <w:tc>
          <w:tcPr>
            <w:tcW w:w="3259" w:type="dxa"/>
            <w:vMerge/>
          </w:tcPr>
          <w:p w:rsidR="00C7001D" w:rsidRPr="00E63330" w:rsidRDefault="00C7001D">
            <w:pPr>
              <w:rPr>
                <w:rFonts w:ascii="Times New Roman" w:hAnsi="Times New Roman"/>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w:t>
            </w:r>
          </w:p>
        </w:tc>
        <w:tc>
          <w:tcPr>
            <w:tcW w:w="3260" w:type="dxa"/>
          </w:tcPr>
          <w:p w:rsidR="00C7001D" w:rsidRPr="00E63330" w:rsidRDefault="0096592E">
            <w:pPr>
              <w:rPr>
                <w:rFonts w:ascii="Times New Roman" w:hAnsi="Times New Roman"/>
                <w:sz w:val="18"/>
                <w:szCs w:val="18"/>
              </w:rPr>
            </w:pPr>
            <w:r w:rsidRPr="003C3367">
              <w:rPr>
                <w:rFonts w:ascii="Times New Roman" w:hAnsi="Times New Roman"/>
                <w:sz w:val="18"/>
                <w:szCs w:val="18"/>
              </w:rPr>
              <w:t>2.1 – 2.2</w:t>
            </w:r>
          </w:p>
        </w:tc>
      </w:tr>
      <w:tr w:rsidR="00C7001D" w:rsidRPr="00E63330" w:rsidTr="00446BFA">
        <w:trPr>
          <w:trHeight w:val="142"/>
        </w:trPr>
        <w:tc>
          <w:tcPr>
            <w:tcW w:w="3259" w:type="dxa"/>
            <w:vMerge/>
          </w:tcPr>
          <w:p w:rsidR="00C7001D" w:rsidRPr="00E63330" w:rsidRDefault="00C7001D">
            <w:pPr>
              <w:rPr>
                <w:rFonts w:ascii="Times New Roman" w:hAnsi="Times New Roman"/>
                <w:sz w:val="18"/>
                <w:szCs w:val="18"/>
              </w:rPr>
            </w:pPr>
          </w:p>
        </w:tc>
        <w:tc>
          <w:tcPr>
            <w:tcW w:w="3259" w:type="dxa"/>
          </w:tcPr>
          <w:p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260" w:type="dxa"/>
          </w:tcPr>
          <w:p w:rsidR="00C7001D" w:rsidRPr="00E63330" w:rsidRDefault="0096592E" w:rsidP="00920420">
            <w:pPr>
              <w:rPr>
                <w:rFonts w:ascii="Times New Roman" w:hAnsi="Times New Roman"/>
                <w:sz w:val="18"/>
                <w:szCs w:val="18"/>
              </w:rPr>
            </w:pPr>
            <w:r w:rsidRPr="003C3367">
              <w:rPr>
                <w:rFonts w:ascii="Times New Roman" w:hAnsi="Times New Roman"/>
                <w:sz w:val="18"/>
                <w:szCs w:val="18"/>
              </w:rPr>
              <w:t>3.1 – 3.2</w:t>
            </w:r>
          </w:p>
        </w:tc>
      </w:tr>
    </w:tbl>
    <w:p w:rsidR="00BC623E" w:rsidRPr="00E63330" w:rsidRDefault="00BC623E" w:rsidP="00AB3CB1">
      <w:pPr>
        <w:autoSpaceDE w:val="0"/>
        <w:autoSpaceDN w:val="0"/>
        <w:adjustRightInd w:val="0"/>
        <w:spacing w:after="0"/>
        <w:jc w:val="both"/>
        <w:rPr>
          <w:rFonts w:ascii="Times New Roman" w:hAnsi="Times New Roman"/>
          <w:sz w:val="10"/>
          <w:szCs w:val="24"/>
        </w:rPr>
      </w:pPr>
    </w:p>
    <w:p w:rsidR="009D3CB7" w:rsidRPr="00E63330" w:rsidRDefault="009D3CB7" w:rsidP="00AB3CB1">
      <w:pPr>
        <w:autoSpaceDE w:val="0"/>
        <w:autoSpaceDN w:val="0"/>
        <w:adjustRightInd w:val="0"/>
        <w:spacing w:after="0"/>
        <w:jc w:val="both"/>
        <w:rPr>
          <w:rFonts w:ascii="Times New Roman" w:hAnsi="Times New Roman"/>
          <w:sz w:val="24"/>
          <w:szCs w:val="24"/>
        </w:rPr>
      </w:pPr>
    </w:p>
    <w:p w:rsidR="008C0C9E"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Di seguito si riportano</w:t>
      </w:r>
      <w:r w:rsidR="00AD0FFB">
        <w:rPr>
          <w:rFonts w:ascii="Times New Roman" w:hAnsi="Times New Roman"/>
          <w:sz w:val="24"/>
          <w:szCs w:val="24"/>
        </w:rPr>
        <w:t xml:space="preserve"> </w:t>
      </w:r>
      <w:r w:rsidRPr="003C3367">
        <w:rPr>
          <w:rFonts w:ascii="Times New Roman" w:hAnsi="Times New Roman"/>
          <w:sz w:val="24"/>
          <w:szCs w:val="24"/>
        </w:rPr>
        <w:t>due tabelle nelle quali è rappresentato</w:t>
      </w:r>
      <w:r w:rsidR="00AD0FFB">
        <w:rPr>
          <w:rFonts w:ascii="Times New Roman" w:hAnsi="Times New Roman"/>
          <w:sz w:val="24"/>
          <w:szCs w:val="24"/>
        </w:rPr>
        <w:t xml:space="preserve"> </w:t>
      </w:r>
      <w:r w:rsidRPr="003C3367">
        <w:rPr>
          <w:rFonts w:ascii="Times New Roman" w:hAnsi="Times New Roman"/>
          <w:sz w:val="24"/>
          <w:szCs w:val="24"/>
        </w:rPr>
        <w:t>rispettivamente il peso che ciascun obiettivo operativo possiede rispetto alla performance complessiva di ogni Struttura Dirigenziale e quello che gli obiettivi operativi hanno rispetto ai singoli Uffici afferenti alle predette Strutture.</w:t>
      </w:r>
    </w:p>
    <w:p w:rsidR="008C0C9E" w:rsidRPr="00E63330" w:rsidRDefault="008C0C9E" w:rsidP="00AB3CB1">
      <w:pPr>
        <w:autoSpaceDE w:val="0"/>
        <w:autoSpaceDN w:val="0"/>
        <w:adjustRightInd w:val="0"/>
        <w:spacing w:after="0"/>
        <w:jc w:val="both"/>
        <w:rPr>
          <w:rFonts w:ascii="Times New Roman" w:hAnsi="Times New Roman"/>
          <w:sz w:val="2"/>
          <w:szCs w:val="24"/>
        </w:rPr>
      </w:pPr>
    </w:p>
    <w:p w:rsidR="00D7021D" w:rsidRPr="00E63330" w:rsidRDefault="00D7021D" w:rsidP="00AB3CB1">
      <w:pPr>
        <w:autoSpaceDE w:val="0"/>
        <w:autoSpaceDN w:val="0"/>
        <w:adjustRightInd w:val="0"/>
        <w:spacing w:after="0"/>
        <w:jc w:val="both"/>
        <w:rPr>
          <w:rFonts w:ascii="Times New Roman" w:hAnsi="Times New Roman"/>
          <w:sz w:val="2"/>
          <w:szCs w:val="24"/>
        </w:rPr>
      </w:pPr>
    </w:p>
    <w:p w:rsidR="00D7021D" w:rsidRPr="00E63330" w:rsidRDefault="00D7021D" w:rsidP="00AB3CB1">
      <w:pPr>
        <w:autoSpaceDE w:val="0"/>
        <w:autoSpaceDN w:val="0"/>
        <w:adjustRightInd w:val="0"/>
        <w:spacing w:after="0"/>
        <w:jc w:val="both"/>
        <w:rPr>
          <w:rFonts w:ascii="Times New Roman" w:hAnsi="Times New Roman"/>
          <w:sz w:val="2"/>
          <w:szCs w:val="24"/>
        </w:rPr>
      </w:pPr>
    </w:p>
    <w:p w:rsidR="00D7021D" w:rsidRPr="00E63330" w:rsidRDefault="00D7021D" w:rsidP="00AB3CB1">
      <w:pPr>
        <w:autoSpaceDE w:val="0"/>
        <w:autoSpaceDN w:val="0"/>
        <w:adjustRightInd w:val="0"/>
        <w:spacing w:after="0"/>
        <w:jc w:val="both"/>
        <w:rPr>
          <w:rFonts w:ascii="Times New Roman" w:hAnsi="Times New Roman"/>
          <w:sz w:val="2"/>
          <w:szCs w:val="24"/>
        </w:rPr>
      </w:pPr>
    </w:p>
    <w:p w:rsidR="00D7021D" w:rsidRPr="00E63330" w:rsidRDefault="00D7021D" w:rsidP="00AB3CB1">
      <w:pPr>
        <w:autoSpaceDE w:val="0"/>
        <w:autoSpaceDN w:val="0"/>
        <w:adjustRightInd w:val="0"/>
        <w:spacing w:after="0"/>
        <w:jc w:val="both"/>
        <w:rPr>
          <w:rFonts w:ascii="Times New Roman" w:hAnsi="Times New Roman"/>
          <w:sz w:val="2"/>
          <w:szCs w:val="24"/>
        </w:rPr>
      </w:pPr>
    </w:p>
    <w:p w:rsidR="00E32150" w:rsidRPr="00E63330" w:rsidRDefault="00215217" w:rsidP="00E32150">
      <w:pPr>
        <w:autoSpaceDE w:val="0"/>
        <w:autoSpaceDN w:val="0"/>
        <w:adjustRightInd w:val="0"/>
        <w:spacing w:after="0"/>
        <w:jc w:val="both"/>
        <w:rPr>
          <w:rFonts w:ascii="Times New Roman" w:hAnsi="Times New Roman"/>
          <w:i/>
          <w:sz w:val="24"/>
          <w:szCs w:val="24"/>
        </w:rPr>
      </w:pPr>
      <w:bookmarkStart w:id="110" w:name="OLE_LINK1"/>
      <w:bookmarkStart w:id="111" w:name="OLE_LINK2"/>
      <w:bookmarkStart w:id="112" w:name="OLE_LINK3"/>
      <w:bookmarkStart w:id="113" w:name="OLE_LINK4"/>
      <w:r>
        <w:rPr>
          <w:rFonts w:ascii="Times New Roman" w:hAnsi="Times New Roman"/>
          <w:i/>
          <w:sz w:val="24"/>
          <w:szCs w:val="24"/>
        </w:rPr>
        <w:t>Tabelle</w:t>
      </w:r>
      <w:r w:rsidR="0096592E" w:rsidRPr="003C3367">
        <w:rPr>
          <w:rFonts w:ascii="Times New Roman" w:hAnsi="Times New Roman"/>
          <w:i/>
          <w:sz w:val="24"/>
          <w:szCs w:val="24"/>
        </w:rPr>
        <w:t xml:space="preserve"> sinottic</w:t>
      </w:r>
      <w:r>
        <w:rPr>
          <w:rFonts w:ascii="Times New Roman" w:hAnsi="Times New Roman"/>
          <w:i/>
          <w:sz w:val="24"/>
          <w:szCs w:val="24"/>
        </w:rPr>
        <w:t>he</w:t>
      </w:r>
      <w:r w:rsidR="0096592E" w:rsidRPr="003C3367">
        <w:rPr>
          <w:rFonts w:ascii="Times New Roman" w:hAnsi="Times New Roman"/>
          <w:i/>
          <w:sz w:val="24"/>
          <w:szCs w:val="24"/>
        </w:rPr>
        <w:t xml:space="preserve"> Obiettivi Operativi/Performance di </w:t>
      </w:r>
      <w:r>
        <w:rPr>
          <w:rFonts w:ascii="Times New Roman" w:hAnsi="Times New Roman"/>
          <w:i/>
          <w:sz w:val="24"/>
          <w:szCs w:val="24"/>
        </w:rPr>
        <w:t>S</w:t>
      </w:r>
      <w:r w:rsidR="0096592E" w:rsidRPr="003C3367">
        <w:rPr>
          <w:rFonts w:ascii="Times New Roman" w:hAnsi="Times New Roman"/>
          <w:i/>
          <w:sz w:val="24"/>
          <w:szCs w:val="24"/>
        </w:rPr>
        <w:t>truttura</w:t>
      </w:r>
      <w:r>
        <w:rPr>
          <w:rFonts w:ascii="Times New Roman" w:hAnsi="Times New Roman"/>
          <w:i/>
          <w:sz w:val="24"/>
          <w:szCs w:val="24"/>
        </w:rPr>
        <w:t>/Ufficio</w:t>
      </w:r>
    </w:p>
    <w:p w:rsidR="00066E9C" w:rsidRPr="00E63330" w:rsidRDefault="00066E9C" w:rsidP="00AD1215">
      <w:pPr>
        <w:autoSpaceDE w:val="0"/>
        <w:autoSpaceDN w:val="0"/>
        <w:adjustRightInd w:val="0"/>
        <w:spacing w:after="0"/>
        <w:jc w:val="both"/>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897"/>
        <w:gridCol w:w="897"/>
        <w:gridCol w:w="897"/>
        <w:gridCol w:w="804"/>
        <w:gridCol w:w="713"/>
        <w:gridCol w:w="713"/>
        <w:gridCol w:w="897"/>
        <w:gridCol w:w="804"/>
        <w:gridCol w:w="804"/>
        <w:gridCol w:w="723"/>
      </w:tblGrid>
      <w:tr w:rsidR="00E55BA1" w:rsidRPr="00E55BA1" w:rsidTr="00E55BA1">
        <w:tc>
          <w:tcPr>
            <w:tcW w:w="804" w:type="pct"/>
          </w:tcPr>
          <w:p w:rsidR="00E55BA1" w:rsidRPr="00E55BA1" w:rsidRDefault="00E55BA1" w:rsidP="004A7EDB">
            <w:pPr>
              <w:autoSpaceDE w:val="0"/>
              <w:autoSpaceDN w:val="0"/>
              <w:adjustRightInd w:val="0"/>
              <w:spacing w:after="0"/>
              <w:jc w:val="center"/>
              <w:rPr>
                <w:rFonts w:ascii="Times New Roman" w:hAnsi="Times New Roman"/>
                <w:b/>
                <w:sz w:val="16"/>
                <w:szCs w:val="16"/>
              </w:rPr>
            </w:pPr>
            <w:r w:rsidRPr="00E55BA1">
              <w:rPr>
                <w:rFonts w:ascii="Times New Roman" w:hAnsi="Times New Roman"/>
                <w:sz w:val="16"/>
                <w:szCs w:val="16"/>
              </w:rPr>
              <w:t>Struttura</w:t>
            </w:r>
          </w:p>
        </w:tc>
        <w:tc>
          <w:tcPr>
            <w:tcW w:w="462" w:type="pct"/>
          </w:tcPr>
          <w:p w:rsidR="00E55BA1" w:rsidRPr="00E55BA1" w:rsidRDefault="00E55BA1" w:rsidP="004A7EDB">
            <w:pPr>
              <w:autoSpaceDE w:val="0"/>
              <w:autoSpaceDN w:val="0"/>
              <w:adjustRightInd w:val="0"/>
              <w:spacing w:after="0"/>
              <w:jc w:val="center"/>
              <w:rPr>
                <w:rFonts w:ascii="Times New Roman" w:hAnsi="Times New Roman"/>
                <w:b/>
                <w:sz w:val="16"/>
                <w:szCs w:val="16"/>
              </w:rPr>
            </w:pPr>
            <w:r w:rsidRPr="00E55BA1">
              <w:rPr>
                <w:rFonts w:ascii="Times New Roman" w:hAnsi="Times New Roman"/>
                <w:sz w:val="16"/>
                <w:szCs w:val="16"/>
              </w:rPr>
              <w:t>O.O. 1.1</w:t>
            </w:r>
          </w:p>
        </w:tc>
        <w:tc>
          <w:tcPr>
            <w:tcW w:w="462"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1.2</w:t>
            </w:r>
          </w:p>
        </w:tc>
        <w:tc>
          <w:tcPr>
            <w:tcW w:w="462"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1.3</w:t>
            </w:r>
          </w:p>
        </w:tc>
        <w:tc>
          <w:tcPr>
            <w:tcW w:w="414"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1.4</w:t>
            </w:r>
          </w:p>
        </w:tc>
        <w:tc>
          <w:tcPr>
            <w:tcW w:w="367"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1.5</w:t>
            </w:r>
          </w:p>
        </w:tc>
        <w:tc>
          <w:tcPr>
            <w:tcW w:w="367"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1.6</w:t>
            </w:r>
          </w:p>
        </w:tc>
        <w:tc>
          <w:tcPr>
            <w:tcW w:w="462"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2.1</w:t>
            </w:r>
          </w:p>
        </w:tc>
        <w:tc>
          <w:tcPr>
            <w:tcW w:w="414" w:type="pct"/>
          </w:tcPr>
          <w:p w:rsidR="00E55BA1" w:rsidRPr="003C3367" w:rsidRDefault="00E55BA1" w:rsidP="004A7EDB">
            <w:pPr>
              <w:jc w:val="center"/>
              <w:rPr>
                <w:rFonts w:ascii="Times New Roman" w:hAnsi="Times New Roman"/>
                <w:b/>
                <w:sz w:val="16"/>
                <w:szCs w:val="16"/>
              </w:rPr>
            </w:pPr>
            <w:r w:rsidRPr="00E55BA1">
              <w:rPr>
                <w:rFonts w:ascii="Times New Roman" w:hAnsi="Times New Roman"/>
                <w:sz w:val="16"/>
                <w:szCs w:val="16"/>
              </w:rPr>
              <w:t>O.O. 3.1</w:t>
            </w:r>
          </w:p>
        </w:tc>
        <w:tc>
          <w:tcPr>
            <w:tcW w:w="414" w:type="pct"/>
          </w:tcPr>
          <w:p w:rsidR="00E55BA1" w:rsidRPr="00E55BA1" w:rsidRDefault="00E55BA1" w:rsidP="004A7EDB">
            <w:pPr>
              <w:jc w:val="center"/>
              <w:rPr>
                <w:rFonts w:ascii="Times New Roman" w:hAnsi="Times New Roman"/>
                <w:b/>
                <w:sz w:val="16"/>
                <w:szCs w:val="16"/>
              </w:rPr>
            </w:pPr>
            <w:r w:rsidRPr="00E55BA1">
              <w:rPr>
                <w:rFonts w:ascii="Times New Roman" w:hAnsi="Times New Roman"/>
                <w:sz w:val="16"/>
                <w:szCs w:val="16"/>
              </w:rPr>
              <w:t>O.O. 3.2</w:t>
            </w:r>
          </w:p>
        </w:tc>
        <w:tc>
          <w:tcPr>
            <w:tcW w:w="372" w:type="pct"/>
          </w:tcPr>
          <w:p w:rsidR="00E55BA1" w:rsidRPr="00E55BA1" w:rsidRDefault="00E55BA1" w:rsidP="004A7EDB">
            <w:pPr>
              <w:jc w:val="center"/>
              <w:rPr>
                <w:rFonts w:ascii="Times New Roman" w:hAnsi="Times New Roman"/>
                <w:b/>
                <w:sz w:val="16"/>
                <w:szCs w:val="16"/>
              </w:rPr>
            </w:pPr>
            <w:r w:rsidRPr="00E55BA1">
              <w:rPr>
                <w:rFonts w:ascii="Times New Roman" w:hAnsi="Times New Roman"/>
                <w:sz w:val="16"/>
                <w:szCs w:val="16"/>
              </w:rPr>
              <w:t>Totale</w:t>
            </w:r>
          </w:p>
        </w:tc>
      </w:tr>
      <w:tr w:rsidR="00E55BA1" w:rsidRPr="00E55BA1" w:rsidTr="003C3367">
        <w:tc>
          <w:tcPr>
            <w:tcW w:w="804" w:type="pct"/>
          </w:tcPr>
          <w:p w:rsidR="00E55BA1" w:rsidRPr="00E55BA1" w:rsidRDefault="00E55BA1" w:rsidP="004A7EDB">
            <w:pPr>
              <w:autoSpaceDE w:val="0"/>
              <w:autoSpaceDN w:val="0"/>
              <w:adjustRightInd w:val="0"/>
              <w:spacing w:after="0"/>
              <w:jc w:val="center"/>
              <w:rPr>
                <w:rFonts w:ascii="Times New Roman" w:hAnsi="Times New Roman"/>
                <w:sz w:val="16"/>
                <w:szCs w:val="16"/>
              </w:rPr>
            </w:pPr>
            <w:r w:rsidRPr="00E55BA1">
              <w:rPr>
                <w:rFonts w:ascii="Times New Roman" w:hAnsi="Times New Roman"/>
                <w:sz w:val="16"/>
                <w:szCs w:val="16"/>
              </w:rPr>
              <w:t>Direzione</w:t>
            </w:r>
          </w:p>
        </w:tc>
        <w:tc>
          <w:tcPr>
            <w:tcW w:w="462" w:type="pct"/>
          </w:tcPr>
          <w:p w:rsidR="00E55BA1" w:rsidRPr="00E55BA1" w:rsidRDefault="00E55BA1" w:rsidP="004A7EDB">
            <w:pPr>
              <w:autoSpaceDE w:val="0"/>
              <w:autoSpaceDN w:val="0"/>
              <w:adjustRightInd w:val="0"/>
              <w:spacing w:after="0"/>
              <w:jc w:val="center"/>
              <w:rPr>
                <w:rFonts w:ascii="Times New Roman" w:hAnsi="Times New Roman"/>
                <w:sz w:val="16"/>
                <w:szCs w:val="16"/>
              </w:rPr>
            </w:pPr>
            <w:r w:rsidRPr="00E55BA1">
              <w:rPr>
                <w:rFonts w:ascii="Times New Roman" w:hAnsi="Times New Roman"/>
                <w:sz w:val="16"/>
                <w:szCs w:val="16"/>
              </w:rPr>
              <w:t>15%</w:t>
            </w:r>
          </w:p>
        </w:tc>
        <w:tc>
          <w:tcPr>
            <w:tcW w:w="462"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462"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20%</w:t>
            </w:r>
          </w:p>
        </w:tc>
        <w:tc>
          <w:tcPr>
            <w:tcW w:w="414"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15%</w:t>
            </w:r>
          </w:p>
        </w:tc>
        <w:tc>
          <w:tcPr>
            <w:tcW w:w="367"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5%</w:t>
            </w:r>
          </w:p>
        </w:tc>
        <w:tc>
          <w:tcPr>
            <w:tcW w:w="367"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5%</w:t>
            </w:r>
          </w:p>
        </w:tc>
        <w:tc>
          <w:tcPr>
            <w:tcW w:w="462"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414"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414"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372" w:type="pct"/>
          </w:tcPr>
          <w:p w:rsidR="00E55BA1" w:rsidRPr="00E55BA1" w:rsidRDefault="00E55BA1" w:rsidP="001566A2">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100%</w:t>
            </w:r>
          </w:p>
        </w:tc>
      </w:tr>
      <w:tr w:rsidR="00E55BA1" w:rsidRPr="00E55BA1" w:rsidTr="003C3367">
        <w:tc>
          <w:tcPr>
            <w:tcW w:w="804" w:type="pct"/>
          </w:tcPr>
          <w:p w:rsidR="00E55BA1" w:rsidRPr="00E55BA1" w:rsidRDefault="00E55BA1" w:rsidP="004A7EDB">
            <w:pPr>
              <w:autoSpaceDE w:val="0"/>
              <w:autoSpaceDN w:val="0"/>
              <w:adjustRightInd w:val="0"/>
              <w:spacing w:after="0"/>
              <w:jc w:val="center"/>
              <w:rPr>
                <w:rFonts w:ascii="Times New Roman" w:hAnsi="Times New Roman"/>
                <w:sz w:val="16"/>
                <w:szCs w:val="16"/>
              </w:rPr>
            </w:pPr>
            <w:bookmarkStart w:id="114" w:name="_Hlk505032932"/>
            <w:r w:rsidRPr="00E55BA1">
              <w:rPr>
                <w:rFonts w:ascii="Times New Roman" w:hAnsi="Times New Roman"/>
                <w:sz w:val="16"/>
                <w:szCs w:val="16"/>
              </w:rPr>
              <w:t>Autorizzazione dei Pagamenti</w:t>
            </w:r>
          </w:p>
        </w:tc>
        <w:tc>
          <w:tcPr>
            <w:tcW w:w="462" w:type="pct"/>
          </w:tcPr>
          <w:p w:rsidR="00E55BA1" w:rsidRPr="00E55BA1" w:rsidRDefault="00E55BA1" w:rsidP="004A7EDB">
            <w:pPr>
              <w:autoSpaceDE w:val="0"/>
              <w:autoSpaceDN w:val="0"/>
              <w:adjustRightInd w:val="0"/>
              <w:spacing w:after="0"/>
              <w:jc w:val="center"/>
              <w:rPr>
                <w:rFonts w:ascii="Times New Roman" w:eastAsia="Times New Roman" w:hAnsi="Times New Roman"/>
                <w:color w:val="000000"/>
                <w:sz w:val="16"/>
                <w:szCs w:val="16"/>
                <w:lang w:eastAsia="it-IT"/>
              </w:rPr>
            </w:pPr>
            <w:r w:rsidRPr="00E55BA1">
              <w:rPr>
                <w:rFonts w:ascii="Times New Roman" w:hAnsi="Times New Roman"/>
                <w:sz w:val="16"/>
                <w:szCs w:val="16"/>
              </w:rPr>
              <w:t>15%</w:t>
            </w:r>
          </w:p>
        </w:tc>
        <w:tc>
          <w:tcPr>
            <w:tcW w:w="462" w:type="pct"/>
          </w:tcPr>
          <w:p w:rsidR="00E55BA1" w:rsidRPr="00E55BA1" w:rsidRDefault="00E55BA1" w:rsidP="004A7EDB">
            <w:pPr>
              <w:autoSpaceDE w:val="0"/>
              <w:autoSpaceDN w:val="0"/>
              <w:adjustRightInd w:val="0"/>
              <w:spacing w:after="0"/>
              <w:jc w:val="center"/>
              <w:rPr>
                <w:rFonts w:ascii="Times New Roman" w:hAnsi="Times New Roman"/>
                <w:sz w:val="16"/>
                <w:szCs w:val="16"/>
              </w:rPr>
            </w:pP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10%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72" w:type="pct"/>
          </w:tcPr>
          <w:p w:rsidR="00E55BA1" w:rsidRPr="003C3367" w:rsidRDefault="00E55BA1" w:rsidP="004A7EDB">
            <w:pPr>
              <w:jc w:val="center"/>
              <w:rPr>
                <w:rFonts w:ascii="Times New Roman" w:hAnsi="Times New Roman"/>
                <w:sz w:val="16"/>
                <w:szCs w:val="16"/>
              </w:rPr>
            </w:pPr>
            <w:r w:rsidRPr="00E55BA1">
              <w:rPr>
                <w:rFonts w:ascii="Times New Roman" w:hAnsi="Times New Roman"/>
                <w:sz w:val="16"/>
                <w:szCs w:val="16"/>
              </w:rPr>
              <w:t>100%</w:t>
            </w:r>
          </w:p>
        </w:tc>
      </w:tr>
      <w:bookmarkEnd w:id="114"/>
      <w:tr w:rsidR="00E55BA1" w:rsidRPr="00E55BA1" w:rsidTr="003C3367">
        <w:tc>
          <w:tcPr>
            <w:tcW w:w="804" w:type="pct"/>
          </w:tcPr>
          <w:p w:rsidR="00E55BA1" w:rsidRPr="00E55BA1" w:rsidRDefault="00E55BA1" w:rsidP="004A7EDB">
            <w:pPr>
              <w:autoSpaceDE w:val="0"/>
              <w:autoSpaceDN w:val="0"/>
              <w:adjustRightInd w:val="0"/>
              <w:spacing w:after="0"/>
              <w:jc w:val="center"/>
              <w:rPr>
                <w:rFonts w:ascii="Times New Roman" w:hAnsi="Times New Roman"/>
                <w:sz w:val="16"/>
                <w:szCs w:val="16"/>
              </w:rPr>
            </w:pPr>
            <w:r w:rsidRPr="00E55BA1">
              <w:rPr>
                <w:rFonts w:ascii="Times New Roman" w:hAnsi="Times New Roman"/>
                <w:sz w:val="16"/>
                <w:szCs w:val="16"/>
              </w:rPr>
              <w:t>Esecuzione dei Pagamenti</w:t>
            </w: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15%</w:t>
            </w:r>
          </w:p>
        </w:tc>
        <w:tc>
          <w:tcPr>
            <w:tcW w:w="462" w:type="pct"/>
          </w:tcPr>
          <w:p w:rsidR="00E55BA1" w:rsidRPr="00E55BA1" w:rsidRDefault="00E55BA1" w:rsidP="004A7EDB">
            <w:pPr>
              <w:jc w:val="center"/>
              <w:rPr>
                <w:rFonts w:ascii="Times New Roman" w:hAnsi="Times New Roman"/>
                <w:sz w:val="16"/>
                <w:szCs w:val="16"/>
              </w:rPr>
            </w:pP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10%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72" w:type="pct"/>
          </w:tcPr>
          <w:p w:rsidR="00E55BA1" w:rsidRPr="003C3367" w:rsidRDefault="00E55BA1" w:rsidP="004A7EDB">
            <w:pPr>
              <w:jc w:val="center"/>
              <w:rPr>
                <w:rFonts w:ascii="Times New Roman" w:hAnsi="Times New Roman"/>
                <w:sz w:val="16"/>
                <w:szCs w:val="16"/>
              </w:rPr>
            </w:pPr>
            <w:r w:rsidRPr="00E55BA1">
              <w:rPr>
                <w:rFonts w:ascii="Times New Roman" w:hAnsi="Times New Roman"/>
                <w:sz w:val="16"/>
                <w:szCs w:val="16"/>
              </w:rPr>
              <w:t>100%</w:t>
            </w:r>
          </w:p>
        </w:tc>
      </w:tr>
      <w:tr w:rsidR="00E55BA1" w:rsidRPr="00E55BA1" w:rsidTr="00E55BA1">
        <w:tc>
          <w:tcPr>
            <w:tcW w:w="804" w:type="pct"/>
          </w:tcPr>
          <w:p w:rsidR="00E55BA1" w:rsidRPr="00E55BA1" w:rsidRDefault="00E55BA1" w:rsidP="004A7EDB">
            <w:pPr>
              <w:autoSpaceDE w:val="0"/>
              <w:autoSpaceDN w:val="0"/>
              <w:adjustRightInd w:val="0"/>
              <w:spacing w:after="0"/>
              <w:jc w:val="center"/>
              <w:rPr>
                <w:rFonts w:ascii="Times New Roman" w:hAnsi="Times New Roman"/>
                <w:sz w:val="16"/>
                <w:szCs w:val="16"/>
              </w:rPr>
            </w:pPr>
            <w:r w:rsidRPr="00E55BA1">
              <w:rPr>
                <w:rFonts w:ascii="Times New Roman" w:hAnsi="Times New Roman"/>
                <w:sz w:val="16"/>
                <w:szCs w:val="16"/>
              </w:rPr>
              <w:t>Funzione Contabilizzazione</w:t>
            </w:r>
          </w:p>
        </w:tc>
        <w:tc>
          <w:tcPr>
            <w:tcW w:w="462" w:type="pct"/>
          </w:tcPr>
          <w:p w:rsidR="00E55BA1" w:rsidRPr="003C3367" w:rsidRDefault="00E55BA1" w:rsidP="004A7EDB">
            <w:pPr>
              <w:jc w:val="center"/>
              <w:rPr>
                <w:rFonts w:ascii="Times New Roman" w:hAnsi="Times New Roman"/>
                <w:sz w:val="16"/>
                <w:szCs w:val="16"/>
              </w:rPr>
            </w:pPr>
            <w:r w:rsidRPr="00E55BA1">
              <w:rPr>
                <w:rFonts w:ascii="Times New Roman" w:hAnsi="Times New Roman"/>
                <w:sz w:val="16"/>
                <w:szCs w:val="16"/>
              </w:rPr>
              <w:t>15%</w:t>
            </w:r>
          </w:p>
        </w:tc>
        <w:tc>
          <w:tcPr>
            <w:tcW w:w="462" w:type="pct"/>
          </w:tcPr>
          <w:p w:rsidR="00E55BA1" w:rsidRPr="00E55BA1" w:rsidRDefault="00E55BA1" w:rsidP="004A7EDB">
            <w:pPr>
              <w:autoSpaceDE w:val="0"/>
              <w:autoSpaceDN w:val="0"/>
              <w:adjustRightInd w:val="0"/>
              <w:spacing w:after="0"/>
              <w:jc w:val="center"/>
              <w:rPr>
                <w:rFonts w:ascii="Times New Roman" w:hAnsi="Times New Roman"/>
                <w:sz w:val="16"/>
                <w:szCs w:val="16"/>
              </w:rPr>
            </w:pP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67"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462"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20%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10%</w:t>
            </w:r>
          </w:p>
        </w:tc>
        <w:tc>
          <w:tcPr>
            <w:tcW w:w="414" w:type="pct"/>
          </w:tcPr>
          <w:p w:rsidR="00E55BA1" w:rsidRPr="00E55BA1" w:rsidRDefault="00E55BA1" w:rsidP="004A7EDB">
            <w:pPr>
              <w:jc w:val="center"/>
              <w:rPr>
                <w:rFonts w:ascii="Times New Roman" w:hAnsi="Times New Roman"/>
                <w:sz w:val="16"/>
                <w:szCs w:val="16"/>
              </w:rPr>
            </w:pPr>
            <w:r w:rsidRPr="00E55BA1">
              <w:rPr>
                <w:rFonts w:ascii="Times New Roman" w:hAnsi="Times New Roman"/>
                <w:sz w:val="16"/>
                <w:szCs w:val="16"/>
              </w:rPr>
              <w:t>5%</w:t>
            </w:r>
          </w:p>
        </w:tc>
        <w:tc>
          <w:tcPr>
            <w:tcW w:w="372" w:type="pct"/>
          </w:tcPr>
          <w:p w:rsidR="00E55BA1" w:rsidRPr="003C3367" w:rsidRDefault="00E55BA1" w:rsidP="004A7EDB">
            <w:pPr>
              <w:jc w:val="center"/>
              <w:rPr>
                <w:rFonts w:ascii="Times New Roman" w:hAnsi="Times New Roman"/>
                <w:sz w:val="16"/>
                <w:szCs w:val="16"/>
              </w:rPr>
            </w:pPr>
            <w:r w:rsidRPr="00E55BA1">
              <w:rPr>
                <w:rFonts w:ascii="Times New Roman" w:hAnsi="Times New Roman"/>
                <w:sz w:val="16"/>
                <w:szCs w:val="16"/>
              </w:rPr>
              <w:t>100%</w:t>
            </w:r>
          </w:p>
        </w:tc>
      </w:tr>
      <w:bookmarkEnd w:id="110"/>
      <w:bookmarkEnd w:id="111"/>
      <w:bookmarkEnd w:id="112"/>
      <w:bookmarkEnd w:id="113"/>
    </w:tbl>
    <w:p w:rsidR="00E32150" w:rsidRPr="00E63330" w:rsidRDefault="00E32150" w:rsidP="00AB3CB1">
      <w:pPr>
        <w:autoSpaceDE w:val="0"/>
        <w:autoSpaceDN w:val="0"/>
        <w:adjustRightInd w:val="0"/>
        <w:spacing w:after="0"/>
        <w:jc w:val="both"/>
        <w:rPr>
          <w:rFonts w:ascii="Times New Roman" w:hAnsi="Times New Roman"/>
          <w:sz w:val="24"/>
          <w:szCs w:val="24"/>
        </w:rPr>
      </w:pPr>
    </w:p>
    <w:tbl>
      <w:tblPr>
        <w:tblStyle w:val="Grigliatabella"/>
        <w:tblW w:w="5000" w:type="pct"/>
        <w:tblLook w:val="04A0" w:firstRow="1" w:lastRow="0" w:firstColumn="1" w:lastColumn="0" w:noHBand="0" w:noVBand="1"/>
      </w:tblPr>
      <w:tblGrid>
        <w:gridCol w:w="1600"/>
        <w:gridCol w:w="738"/>
        <w:gridCol w:w="736"/>
        <w:gridCol w:w="736"/>
        <w:gridCol w:w="736"/>
        <w:gridCol w:w="738"/>
        <w:gridCol w:w="738"/>
        <w:gridCol w:w="738"/>
        <w:gridCol w:w="738"/>
        <w:gridCol w:w="738"/>
        <w:gridCol w:w="738"/>
        <w:gridCol w:w="738"/>
      </w:tblGrid>
      <w:tr w:rsidR="006954A5" w:rsidRPr="00EC0A63" w:rsidTr="003C3367">
        <w:trPr>
          <w:trHeight w:val="320"/>
        </w:trPr>
        <w:tc>
          <w:tcPr>
            <w:tcW w:w="823"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Struttura</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Ufficio</w:t>
            </w:r>
          </w:p>
        </w:tc>
        <w:tc>
          <w:tcPr>
            <w:tcW w:w="379"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1.1</w:t>
            </w:r>
          </w:p>
        </w:tc>
        <w:tc>
          <w:tcPr>
            <w:tcW w:w="379"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1.2</w:t>
            </w:r>
          </w:p>
        </w:tc>
        <w:tc>
          <w:tcPr>
            <w:tcW w:w="379"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1.3</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1.4</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1.5</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1.6</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2.1</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3.1</w:t>
            </w:r>
          </w:p>
        </w:tc>
        <w:tc>
          <w:tcPr>
            <w:tcW w:w="380"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O.O. 3.2</w:t>
            </w:r>
          </w:p>
        </w:tc>
        <w:tc>
          <w:tcPr>
            <w:tcW w:w="381" w:type="pct"/>
            <w:hideMark/>
          </w:tcPr>
          <w:p w:rsidR="006954A5" w:rsidRPr="00EC0A63" w:rsidRDefault="006954A5" w:rsidP="00B35849">
            <w:pPr>
              <w:spacing w:after="0" w:line="240" w:lineRule="auto"/>
              <w:jc w:val="center"/>
              <w:rPr>
                <w:rFonts w:ascii="Times New Roman" w:eastAsia="Times New Roman" w:hAnsi="Times New Roman"/>
                <w:b/>
                <w:bCs/>
                <w:color w:val="000000"/>
                <w:sz w:val="16"/>
                <w:szCs w:val="16"/>
                <w:lang w:eastAsia="it-IT"/>
              </w:rPr>
            </w:pPr>
            <w:r w:rsidRPr="00EC0A63">
              <w:rPr>
                <w:rFonts w:ascii="Times New Roman" w:hAnsi="Times New Roman"/>
                <w:b/>
                <w:sz w:val="16"/>
                <w:szCs w:val="16"/>
              </w:rPr>
              <w:t>Totale</w:t>
            </w:r>
          </w:p>
        </w:tc>
      </w:tr>
      <w:tr w:rsidR="00E55BA1" w:rsidRPr="00EC0A63" w:rsidTr="00E55BA1">
        <w:trPr>
          <w:trHeight w:val="320"/>
        </w:trPr>
        <w:tc>
          <w:tcPr>
            <w:tcW w:w="823" w:type="pct"/>
            <w:vMerge w:val="restar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Direzione</w:t>
            </w:r>
          </w:p>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DG</w:t>
            </w:r>
          </w:p>
        </w:tc>
        <w:tc>
          <w:tcPr>
            <w:tcW w:w="379"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15%</w:t>
            </w:r>
          </w:p>
        </w:tc>
        <w:tc>
          <w:tcPr>
            <w:tcW w:w="379"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379"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20%</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15%</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5%</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5%</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380"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55BA1">
              <w:rPr>
                <w:rFonts w:ascii="Times New Roman" w:hAnsi="Times New Roman"/>
                <w:sz w:val="16"/>
                <w:szCs w:val="16"/>
              </w:rPr>
              <w:t>10%</w:t>
            </w:r>
          </w:p>
        </w:tc>
        <w:tc>
          <w:tcPr>
            <w:tcW w:w="381" w:type="pct"/>
            <w:hideMark/>
          </w:tcPr>
          <w:p w:rsidR="00E55BA1" w:rsidRPr="00EC0A63" w:rsidRDefault="00E55BA1"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E55BA1">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D1</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E55BA1">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D2</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E55BA1">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D3</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E55BA1">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D4</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25%</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E55BA1">
        <w:trPr>
          <w:trHeight w:val="320"/>
        </w:trPr>
        <w:tc>
          <w:tcPr>
            <w:tcW w:w="823" w:type="pct"/>
            <w:vMerge/>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D5</w:t>
            </w:r>
          </w:p>
        </w:tc>
        <w:tc>
          <w:tcPr>
            <w:tcW w:w="379"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20%</w:t>
            </w:r>
          </w:p>
        </w:tc>
        <w:tc>
          <w:tcPr>
            <w:tcW w:w="379"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35%</w:t>
            </w: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320"/>
        </w:trPr>
        <w:tc>
          <w:tcPr>
            <w:tcW w:w="823" w:type="pct"/>
            <w:vMerge w:val="restar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Funzione Autorizzazione dei Pagamenti</w:t>
            </w:r>
          </w:p>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A1</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right"/>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A2</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A3</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400"/>
        </w:trPr>
        <w:tc>
          <w:tcPr>
            <w:tcW w:w="823" w:type="pct"/>
            <w:vMerge w:val="restar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Funzione Esecuzione dei Pagamenti</w:t>
            </w:r>
          </w:p>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E1</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E2</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400"/>
        </w:trPr>
        <w:tc>
          <w:tcPr>
            <w:tcW w:w="823" w:type="pct"/>
            <w:vMerge w:val="restar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Funzione Contabilizzazione</w:t>
            </w:r>
          </w:p>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C1</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r w:rsidR="006954A5" w:rsidRPr="00EC0A63" w:rsidTr="003C3367">
        <w:trPr>
          <w:trHeight w:val="320"/>
        </w:trPr>
        <w:tc>
          <w:tcPr>
            <w:tcW w:w="823" w:type="pct"/>
            <w:vMerge/>
            <w:hideMark/>
          </w:tcPr>
          <w:p w:rsidR="006954A5" w:rsidRPr="00EC0A63" w:rsidRDefault="006954A5" w:rsidP="00B35849">
            <w:pPr>
              <w:spacing w:after="0" w:line="240" w:lineRule="auto"/>
              <w:rPr>
                <w:rFonts w:ascii="Times New Roman" w:eastAsia="Times New Roman" w:hAnsi="Times New Roman"/>
                <w:color w:val="000000"/>
                <w:sz w:val="16"/>
                <w:szCs w:val="16"/>
                <w:lang w:eastAsia="it-IT"/>
              </w:rPr>
            </w:pP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C2</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15%</w:t>
            </w: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p>
        </w:tc>
        <w:tc>
          <w:tcPr>
            <w:tcW w:w="379"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30%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w:t>
            </w:r>
          </w:p>
        </w:tc>
        <w:tc>
          <w:tcPr>
            <w:tcW w:w="380"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5%</w:t>
            </w:r>
          </w:p>
        </w:tc>
        <w:tc>
          <w:tcPr>
            <w:tcW w:w="381" w:type="pct"/>
            <w:hideMark/>
          </w:tcPr>
          <w:p w:rsidR="006954A5" w:rsidRPr="00EC0A63" w:rsidRDefault="006954A5" w:rsidP="00B35849">
            <w:pPr>
              <w:spacing w:after="0" w:line="240" w:lineRule="auto"/>
              <w:jc w:val="center"/>
              <w:rPr>
                <w:rFonts w:ascii="Times New Roman" w:eastAsia="Times New Roman" w:hAnsi="Times New Roman"/>
                <w:color w:val="000000"/>
                <w:sz w:val="16"/>
                <w:szCs w:val="16"/>
                <w:lang w:eastAsia="it-IT"/>
              </w:rPr>
            </w:pPr>
            <w:r w:rsidRPr="00EC0A63">
              <w:rPr>
                <w:rFonts w:ascii="Times New Roman" w:hAnsi="Times New Roman"/>
                <w:sz w:val="16"/>
                <w:szCs w:val="16"/>
              </w:rPr>
              <w:t>100%</w:t>
            </w:r>
          </w:p>
        </w:tc>
      </w:tr>
    </w:tbl>
    <w:p w:rsidR="004A7EDB" w:rsidRDefault="004A7EDB" w:rsidP="00AB3CB1">
      <w:pPr>
        <w:autoSpaceDE w:val="0"/>
        <w:autoSpaceDN w:val="0"/>
        <w:adjustRightInd w:val="0"/>
        <w:spacing w:after="0"/>
        <w:jc w:val="both"/>
        <w:rPr>
          <w:rFonts w:ascii="Times New Roman" w:hAnsi="Times New Roman"/>
          <w:sz w:val="24"/>
          <w:szCs w:val="24"/>
        </w:rPr>
      </w:pPr>
      <w:r w:rsidRPr="00590BFC">
        <w:rPr>
          <w:rFonts w:ascii="Times New Roman" w:hAnsi="Times New Roman"/>
          <w:sz w:val="24"/>
          <w:szCs w:val="24"/>
        </w:rPr>
        <w:t xml:space="preserve"> </w:t>
      </w:r>
    </w:p>
    <w:p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rsidR="004A7EDB" w:rsidRPr="00E63330" w:rsidRDefault="004A7EDB" w:rsidP="004A7EDB">
      <w:pPr>
        <w:autoSpaceDE w:val="0"/>
        <w:autoSpaceDN w:val="0"/>
        <w:adjustRightInd w:val="0"/>
        <w:spacing w:after="0"/>
        <w:jc w:val="both"/>
        <w:rPr>
          <w:rFonts w:ascii="Times New Roman" w:hAnsi="Times New Roman"/>
          <w:i/>
          <w:sz w:val="24"/>
          <w:szCs w:val="24"/>
        </w:rPr>
      </w:pPr>
    </w:p>
    <w:p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Obiettivi Operativi/Performance di Ufficio</w:t>
      </w:r>
    </w:p>
    <w:p w:rsidR="004A7EDB" w:rsidRPr="00E63330" w:rsidRDefault="004A7EDB" w:rsidP="004A7EDB">
      <w:pPr>
        <w:autoSpaceDE w:val="0"/>
        <w:autoSpaceDN w:val="0"/>
        <w:adjustRightInd w:val="0"/>
        <w:spacing w:after="0"/>
        <w:jc w:val="both"/>
        <w:rPr>
          <w:rFonts w:ascii="Times New Roman" w:hAnsi="Times New Roman"/>
          <w:i/>
          <w:sz w:val="24"/>
          <w:szCs w:val="24"/>
        </w:rPr>
      </w:pPr>
    </w:p>
    <w:p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rsidR="006A7D24"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br w:type="page"/>
      </w:r>
      <w:r w:rsidRPr="003C3367">
        <w:rPr>
          <w:rFonts w:ascii="Times New Roman" w:hAnsi="Times New Roman"/>
          <w:sz w:val="24"/>
          <w:szCs w:val="24"/>
        </w:rPr>
        <w:lastRenderedPageBreak/>
        <w:t xml:space="preserve">Quadro sinottico Indicatori – Fonti – Target Annuali e Semestrali </w:t>
      </w:r>
      <w:r w:rsidR="00E74997">
        <w:rPr>
          <w:rFonts w:ascii="Times New Roman" w:hAnsi="Times New Roman"/>
          <w:sz w:val="24"/>
          <w:szCs w:val="24"/>
        </w:rPr>
        <w:t xml:space="preserve">- </w:t>
      </w:r>
      <w:r w:rsidR="00E74997" w:rsidRPr="00E74997">
        <w:rPr>
          <w:rFonts w:ascii="Times New Roman" w:hAnsi="Times New Roman"/>
          <w:sz w:val="24"/>
          <w:szCs w:val="24"/>
        </w:rPr>
        <w:t>Valore Iniziale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2743"/>
        <w:gridCol w:w="2128"/>
        <w:gridCol w:w="1434"/>
        <w:gridCol w:w="1355"/>
        <w:gridCol w:w="1464"/>
      </w:tblGrid>
      <w:tr w:rsidR="008854D3" w:rsidRPr="00E63330" w:rsidTr="009F0B9F">
        <w:trPr>
          <w:jc w:val="center"/>
        </w:trPr>
        <w:tc>
          <w:tcPr>
            <w:tcW w:w="0" w:type="auto"/>
            <w:vAlign w:val="center"/>
          </w:tcPr>
          <w:p w:rsidR="00EB13CB" w:rsidRPr="003C3367" w:rsidRDefault="00EB13CB" w:rsidP="00AD0FFB">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O.O.</w:t>
            </w:r>
          </w:p>
        </w:tc>
        <w:tc>
          <w:tcPr>
            <w:tcW w:w="0" w:type="auto"/>
            <w:shd w:val="clear" w:color="auto" w:fill="auto"/>
            <w:vAlign w:val="center"/>
          </w:tcPr>
          <w:p w:rsidR="00EB13CB" w:rsidRPr="003C3367" w:rsidRDefault="00EB13CB" w:rsidP="00AD0FFB">
            <w:pPr>
              <w:autoSpaceDE w:val="0"/>
              <w:autoSpaceDN w:val="0"/>
              <w:adjustRightInd w:val="0"/>
              <w:spacing w:after="0"/>
              <w:jc w:val="center"/>
              <w:rPr>
                <w:rFonts w:ascii="Times New Roman" w:hAnsi="Times New Roman"/>
                <w:sz w:val="24"/>
                <w:szCs w:val="24"/>
              </w:rPr>
            </w:pPr>
            <w:r w:rsidRPr="003C3367">
              <w:rPr>
                <w:rFonts w:ascii="Times New Roman" w:hAnsi="Times New Roman"/>
                <w:b/>
                <w:sz w:val="18"/>
                <w:szCs w:val="18"/>
              </w:rPr>
              <w:t>Indicatore</w:t>
            </w:r>
          </w:p>
        </w:tc>
        <w:tc>
          <w:tcPr>
            <w:tcW w:w="0" w:type="auto"/>
            <w:shd w:val="clear" w:color="auto" w:fill="auto"/>
            <w:vAlign w:val="center"/>
          </w:tcPr>
          <w:p w:rsidR="00EB13CB" w:rsidRPr="003C3367" w:rsidRDefault="00EB13CB" w:rsidP="00AD0FFB">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Fonte</w:t>
            </w:r>
          </w:p>
        </w:tc>
        <w:tc>
          <w:tcPr>
            <w:tcW w:w="0" w:type="auto"/>
            <w:shd w:val="clear" w:color="auto" w:fill="auto"/>
            <w:vAlign w:val="center"/>
          </w:tcPr>
          <w:p w:rsidR="00EB13CB" w:rsidRPr="003C3367" w:rsidRDefault="00EB13CB" w:rsidP="00AD0FFB">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Target 30/06</w:t>
            </w:r>
          </w:p>
        </w:tc>
        <w:tc>
          <w:tcPr>
            <w:tcW w:w="0" w:type="auto"/>
            <w:shd w:val="clear" w:color="auto" w:fill="auto"/>
            <w:vAlign w:val="center"/>
          </w:tcPr>
          <w:p w:rsidR="00EB13CB" w:rsidRPr="003C3367" w:rsidRDefault="00EB13CB" w:rsidP="00AD0FFB">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Target 31/12</w:t>
            </w:r>
          </w:p>
        </w:tc>
        <w:tc>
          <w:tcPr>
            <w:tcW w:w="0" w:type="auto"/>
          </w:tcPr>
          <w:p w:rsidR="00EB13CB" w:rsidRPr="00590BFC" w:rsidRDefault="00E74997" w:rsidP="00AD0FFB">
            <w:pPr>
              <w:autoSpaceDE w:val="0"/>
              <w:autoSpaceDN w:val="0"/>
              <w:adjustRightInd w:val="0"/>
              <w:spacing w:after="0"/>
              <w:jc w:val="center"/>
              <w:rPr>
                <w:rFonts w:ascii="Times New Roman" w:hAnsi="Times New Roman"/>
                <w:b/>
                <w:sz w:val="18"/>
                <w:szCs w:val="18"/>
              </w:rPr>
            </w:pPr>
            <w:r>
              <w:rPr>
                <w:rFonts w:ascii="Times New Roman" w:hAnsi="Times New Roman"/>
                <w:b/>
                <w:sz w:val="18"/>
                <w:szCs w:val="18"/>
              </w:rPr>
              <w:t>Valore Iniziale</w:t>
            </w:r>
          </w:p>
        </w:tc>
      </w:tr>
      <w:tr w:rsidR="008854D3" w:rsidRPr="00E63330" w:rsidTr="009F0B9F">
        <w:trPr>
          <w:trHeight w:val="1162"/>
          <w:jc w:val="center"/>
        </w:trPr>
        <w:tc>
          <w:tcPr>
            <w:tcW w:w="0" w:type="auto"/>
            <w:vMerge w:val="restart"/>
            <w:vAlign w:val="center"/>
          </w:tcPr>
          <w:p w:rsidR="00EB13CB" w:rsidRPr="003C3367" w:rsidRDefault="00EB13CB"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1.1</w:t>
            </w:r>
          </w:p>
        </w:tc>
        <w:tc>
          <w:tcPr>
            <w:tcW w:w="0" w:type="auto"/>
            <w:shd w:val="clear" w:color="auto" w:fill="auto"/>
            <w:vAlign w:val="center"/>
          </w:tcPr>
          <w:p w:rsidR="00EB13CB" w:rsidRPr="003C3367" w:rsidRDefault="00EB13CB" w:rsidP="00EC0A63">
            <w:pPr>
              <w:tabs>
                <w:tab w:val="left" w:pos="287"/>
              </w:tabs>
              <w:spacing w:after="120"/>
              <w:rPr>
                <w:rFonts w:ascii="Times New Roman" w:hAnsi="Times New Roman"/>
                <w:sz w:val="18"/>
                <w:szCs w:val="18"/>
              </w:rPr>
            </w:pPr>
            <w:r w:rsidRPr="003C3367">
              <w:rPr>
                <w:rFonts w:ascii="Times New Roman" w:hAnsi="Times New Roman"/>
                <w:sz w:val="18"/>
                <w:szCs w:val="18"/>
              </w:rPr>
              <w:t>I1.1.1: Livello di maturità complessivo dell’ARCEA, riscontrato dall’Organismo di Certificazione (</w:t>
            </w:r>
            <w:r w:rsidRPr="003C3367">
              <w:rPr>
                <w:rFonts w:ascii="Times New Roman" w:hAnsi="Times New Roman"/>
                <w:sz w:val="18"/>
                <w:szCs w:val="18"/>
                <w:u w:val="single"/>
              </w:rPr>
              <w:t xml:space="preserve">peso </w:t>
            </w:r>
            <w:r>
              <w:rPr>
                <w:rFonts w:ascii="Times New Roman" w:hAnsi="Times New Roman"/>
                <w:sz w:val="18"/>
                <w:szCs w:val="18"/>
                <w:u w:val="single"/>
              </w:rPr>
              <w:t>6</w:t>
            </w:r>
            <w:r w:rsidRPr="003C3367">
              <w:rPr>
                <w:rFonts w:ascii="Times New Roman" w:hAnsi="Times New Roman"/>
                <w:sz w:val="18"/>
                <w:szCs w:val="18"/>
                <w:u w:val="single"/>
              </w:rPr>
              <w:t>0%</w:t>
            </w:r>
            <w:r w:rsidRPr="003C3367">
              <w:rPr>
                <w:rFonts w:ascii="Times New Roman" w:hAnsi="Times New Roman"/>
                <w:sz w:val="18"/>
                <w:szCs w:val="18"/>
              </w:rPr>
              <w:t>)</w:t>
            </w:r>
          </w:p>
        </w:tc>
        <w:tc>
          <w:tcPr>
            <w:tcW w:w="0" w:type="auto"/>
            <w:shd w:val="clear" w:color="auto" w:fill="auto"/>
            <w:vAlign w:val="center"/>
          </w:tcPr>
          <w:p w:rsidR="00EB13CB" w:rsidRPr="003C3367" w:rsidRDefault="00EB13CB" w:rsidP="00AD0FFB">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EB13CB" w:rsidRPr="003C3367" w:rsidRDefault="00EB13CB"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 perché la reazione dell’Ente Certificatore è emessa a fine anno</w:t>
            </w:r>
          </w:p>
        </w:tc>
        <w:tc>
          <w:tcPr>
            <w:tcW w:w="0" w:type="auto"/>
            <w:shd w:val="clear" w:color="auto" w:fill="auto"/>
            <w:vAlign w:val="center"/>
          </w:tcPr>
          <w:p w:rsidR="00EB13CB" w:rsidRPr="003C3367" w:rsidRDefault="00EB13CB"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&gt;= 3</w:t>
            </w:r>
          </w:p>
        </w:tc>
        <w:tc>
          <w:tcPr>
            <w:tcW w:w="0" w:type="auto"/>
          </w:tcPr>
          <w:p w:rsidR="00EB13CB" w:rsidRDefault="00EB13CB" w:rsidP="00AD0FFB">
            <w:pPr>
              <w:tabs>
                <w:tab w:val="left" w:pos="287"/>
              </w:tabs>
              <w:spacing w:after="120"/>
              <w:jc w:val="center"/>
              <w:rPr>
                <w:rFonts w:ascii="Times New Roman" w:hAnsi="Times New Roman"/>
                <w:sz w:val="18"/>
                <w:szCs w:val="18"/>
              </w:rPr>
            </w:pPr>
          </w:p>
          <w:p w:rsidR="00EB13CB" w:rsidRPr="00590BFC" w:rsidRDefault="00EB13CB" w:rsidP="00AD0FFB">
            <w:pPr>
              <w:tabs>
                <w:tab w:val="left" w:pos="287"/>
              </w:tabs>
              <w:spacing w:after="120"/>
              <w:jc w:val="center"/>
              <w:rPr>
                <w:rFonts w:ascii="Times New Roman" w:hAnsi="Times New Roman"/>
                <w:sz w:val="18"/>
                <w:szCs w:val="18"/>
              </w:rPr>
            </w:pPr>
            <w:r>
              <w:rPr>
                <w:rFonts w:ascii="Times New Roman" w:hAnsi="Times New Roman"/>
                <w:sz w:val="18"/>
                <w:szCs w:val="18"/>
              </w:rPr>
              <w:t>La relazione ha carattere annuale; il livello di partenza per la relazione 2019 è, pertanto, pari a 0;</w:t>
            </w:r>
          </w:p>
        </w:tc>
      </w:tr>
      <w:tr w:rsidR="008854D3" w:rsidRPr="00E63330" w:rsidTr="009F0B9F">
        <w:trPr>
          <w:trHeight w:val="1038"/>
          <w:jc w:val="center"/>
        </w:trPr>
        <w:tc>
          <w:tcPr>
            <w:tcW w:w="0" w:type="auto"/>
            <w:vMerge/>
            <w:vAlign w:val="center"/>
          </w:tcPr>
          <w:p w:rsidR="00EB13CB" w:rsidRPr="003C3367" w:rsidRDefault="00EB13CB"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EB13CB" w:rsidRPr="003C3367" w:rsidRDefault="00EB13CB" w:rsidP="00AD0FFB">
            <w:pPr>
              <w:tabs>
                <w:tab w:val="left" w:pos="287"/>
              </w:tabs>
              <w:spacing w:after="120"/>
              <w:jc w:val="both"/>
              <w:rPr>
                <w:rFonts w:ascii="Times New Roman" w:hAnsi="Times New Roman"/>
                <w:b/>
                <w:sz w:val="18"/>
                <w:szCs w:val="18"/>
              </w:rPr>
            </w:pPr>
            <w:r w:rsidRPr="003C3367">
              <w:rPr>
                <w:rFonts w:ascii="Times New Roman" w:hAnsi="Times New Roman"/>
                <w:b/>
                <w:sz w:val="18"/>
                <w:szCs w:val="18"/>
              </w:rPr>
              <w:t>I.1.1.2: Eventi formativi rivolti a tutto il personale (&gt;=3, ossia almeno 3 eventi per ogni dipendente) (</w:t>
            </w:r>
            <w:r w:rsidRPr="003C3367">
              <w:rPr>
                <w:rFonts w:ascii="Times New Roman" w:hAnsi="Times New Roman"/>
                <w:b/>
                <w:sz w:val="18"/>
                <w:szCs w:val="18"/>
                <w:u w:val="single"/>
              </w:rPr>
              <w:t>peso 40%</w:t>
            </w:r>
            <w:r w:rsidRPr="003C3367">
              <w:rPr>
                <w:rFonts w:ascii="Times New Roman" w:hAnsi="Times New Roman"/>
                <w:b/>
                <w:sz w:val="18"/>
                <w:szCs w:val="18"/>
              </w:rPr>
              <w:t>) ;</w:t>
            </w:r>
          </w:p>
          <w:p w:rsidR="00EB13CB" w:rsidRPr="003C3367" w:rsidRDefault="00EB13CB" w:rsidP="00AD0FFB">
            <w:pPr>
              <w:tabs>
                <w:tab w:val="left" w:pos="287"/>
              </w:tabs>
              <w:spacing w:after="120"/>
              <w:jc w:val="both"/>
              <w:rPr>
                <w:rFonts w:ascii="Times New Roman" w:hAnsi="Times New Roman"/>
                <w:b/>
                <w:sz w:val="18"/>
                <w:szCs w:val="18"/>
              </w:rPr>
            </w:pPr>
          </w:p>
        </w:tc>
        <w:tc>
          <w:tcPr>
            <w:tcW w:w="0" w:type="auto"/>
            <w:shd w:val="clear" w:color="auto" w:fill="auto"/>
            <w:vAlign w:val="center"/>
          </w:tcPr>
          <w:p w:rsidR="00EB13CB" w:rsidRPr="003C3367" w:rsidRDefault="00EB13CB" w:rsidP="00AD0FFB">
            <w:pPr>
              <w:tabs>
                <w:tab w:val="left" w:pos="287"/>
              </w:tabs>
              <w:spacing w:after="120"/>
              <w:jc w:val="both"/>
              <w:rPr>
                <w:rFonts w:ascii="Times New Roman" w:hAnsi="Times New Roman"/>
                <w:b/>
                <w:sz w:val="18"/>
                <w:szCs w:val="18"/>
              </w:rPr>
            </w:pPr>
            <w:r w:rsidRPr="003C3367">
              <w:rPr>
                <w:rFonts w:ascii="Times New Roman" w:hAnsi="Times New Roman"/>
                <w:b/>
                <w:sz w:val="18"/>
                <w:szCs w:val="18"/>
              </w:rPr>
              <w:t>Riscontrabile dai fogli presenza/attestazioni detenuti dall’Ufficio personale</w:t>
            </w:r>
          </w:p>
        </w:tc>
        <w:tc>
          <w:tcPr>
            <w:tcW w:w="0" w:type="auto"/>
            <w:shd w:val="clear" w:color="auto" w:fill="auto"/>
            <w:vAlign w:val="center"/>
          </w:tcPr>
          <w:p w:rsidR="00EB13CB" w:rsidRPr="003C3367" w:rsidRDefault="00EB13CB" w:rsidP="00AD0FFB">
            <w:pPr>
              <w:tabs>
                <w:tab w:val="left" w:pos="287"/>
              </w:tabs>
              <w:spacing w:after="120"/>
              <w:jc w:val="center"/>
              <w:rPr>
                <w:rFonts w:ascii="Times New Roman" w:hAnsi="Times New Roman"/>
                <w:b/>
                <w:sz w:val="18"/>
                <w:szCs w:val="18"/>
              </w:rPr>
            </w:pPr>
            <w:r w:rsidRPr="003C3367">
              <w:rPr>
                <w:rFonts w:ascii="Times New Roman" w:hAnsi="Times New Roman"/>
                <w:b/>
                <w:sz w:val="18"/>
                <w:szCs w:val="18"/>
              </w:rPr>
              <w:t>&gt;=1</w:t>
            </w:r>
          </w:p>
        </w:tc>
        <w:tc>
          <w:tcPr>
            <w:tcW w:w="0" w:type="auto"/>
            <w:shd w:val="clear" w:color="auto" w:fill="auto"/>
            <w:vAlign w:val="center"/>
          </w:tcPr>
          <w:p w:rsidR="00EB13CB" w:rsidRPr="003C3367" w:rsidRDefault="00EB13CB" w:rsidP="00AD0FFB">
            <w:pPr>
              <w:tabs>
                <w:tab w:val="left" w:pos="287"/>
              </w:tabs>
              <w:spacing w:after="120"/>
              <w:jc w:val="center"/>
              <w:rPr>
                <w:rFonts w:ascii="Times New Roman" w:hAnsi="Times New Roman"/>
                <w:b/>
                <w:sz w:val="18"/>
                <w:szCs w:val="18"/>
              </w:rPr>
            </w:pPr>
            <w:r w:rsidRPr="003C3367">
              <w:rPr>
                <w:rFonts w:ascii="Times New Roman" w:hAnsi="Times New Roman"/>
                <w:b/>
                <w:sz w:val="18"/>
                <w:szCs w:val="18"/>
              </w:rPr>
              <w:t>&gt;=3</w:t>
            </w:r>
          </w:p>
        </w:tc>
        <w:tc>
          <w:tcPr>
            <w:tcW w:w="0" w:type="auto"/>
          </w:tcPr>
          <w:p w:rsidR="00EB13CB" w:rsidRPr="00590BFC" w:rsidRDefault="00CB2856" w:rsidP="00EB13CB">
            <w:pPr>
              <w:tabs>
                <w:tab w:val="left" w:pos="287"/>
              </w:tabs>
              <w:spacing w:after="120"/>
              <w:rPr>
                <w:rFonts w:ascii="Times New Roman" w:hAnsi="Times New Roman"/>
                <w:sz w:val="18"/>
                <w:szCs w:val="18"/>
              </w:rPr>
            </w:pPr>
            <w:r>
              <w:rPr>
                <w:rFonts w:ascii="Times New Roman" w:hAnsi="Times New Roman"/>
                <w:sz w:val="18"/>
                <w:szCs w:val="18"/>
              </w:rPr>
              <w:t xml:space="preserve">L’indicatore si riferisce ad eventi che si dovranno svolgere nel 2019; il livello di partenza è, pertanto, pari a 0. </w:t>
            </w:r>
          </w:p>
        </w:tc>
      </w:tr>
      <w:tr w:rsidR="008854D3" w:rsidRPr="00E63330" w:rsidTr="009F0B9F">
        <w:trPr>
          <w:trHeight w:val="1038"/>
          <w:jc w:val="center"/>
        </w:trPr>
        <w:tc>
          <w:tcPr>
            <w:tcW w:w="0" w:type="auto"/>
            <w:vMerge w:val="restart"/>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1.2</w:t>
            </w:r>
          </w:p>
        </w:tc>
        <w:tc>
          <w:tcPr>
            <w:tcW w:w="0" w:type="auto"/>
            <w:shd w:val="clear" w:color="auto" w:fill="auto"/>
            <w:vAlign w:val="center"/>
          </w:tcPr>
          <w:p w:rsidR="00CB2856" w:rsidRPr="003C3367" w:rsidRDefault="00CB2856" w:rsidP="00EC0A63">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1</w:t>
            </w:r>
            <w:r w:rsidRPr="003C3367">
              <w:rPr>
                <w:rFonts w:ascii="Times New Roman" w:hAnsi="Times New Roman"/>
                <w:sz w:val="18"/>
                <w:szCs w:val="18"/>
              </w:rPr>
              <w:t xml:space="preserve">: Incidenza spesa personale sulla spesa corrente (Indicatore di equilibrio economico-finanziario) </w:t>
            </w:r>
            <w:r w:rsidRPr="003C3367">
              <w:rPr>
                <w:rFonts w:ascii="Times New Roman" w:hAnsi="Times New Roman"/>
                <w:i/>
                <w:sz w:val="18"/>
                <w:szCs w:val="18"/>
              </w:rPr>
              <w:t>(Fonte: Piano degli indicatori e dei risultati attesi di bilancio)</w:t>
            </w:r>
            <w:r w:rsidRPr="003C3367">
              <w:rPr>
                <w:rFonts w:ascii="Times New Roman" w:hAnsi="Times New Roman"/>
                <w:sz w:val="18"/>
                <w:szCs w:val="18"/>
              </w:rPr>
              <w:t xml:space="preserve"> (</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Fonte: Piano degli indicatori e dei risultati attesi di bilancio</w:t>
            </w:r>
          </w:p>
          <w:p w:rsidR="00CB2856" w:rsidRPr="003C3367"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w:t>
            </w:r>
          </w:p>
        </w:tc>
        <w:tc>
          <w:tcPr>
            <w:tcW w:w="0" w:type="auto"/>
            <w:shd w:val="clear" w:color="auto" w:fill="auto"/>
            <w:vAlign w:val="center"/>
          </w:tcPr>
          <w:p w:rsidR="00CB2856" w:rsidRPr="003C3367" w:rsidRDefault="00CB2856" w:rsidP="00E74997">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&lt;50% </w:t>
            </w:r>
          </w:p>
        </w:tc>
        <w:tc>
          <w:tcPr>
            <w:tcW w:w="0" w:type="auto"/>
          </w:tcPr>
          <w:p w:rsidR="00CB2856" w:rsidRPr="00590BFC" w:rsidRDefault="00CB2856" w:rsidP="00AD0FFB">
            <w:pPr>
              <w:tabs>
                <w:tab w:val="left" w:pos="287"/>
              </w:tabs>
              <w:spacing w:after="120"/>
              <w:jc w:val="center"/>
              <w:rPr>
                <w:rFonts w:ascii="Times New Roman" w:hAnsi="Times New Roman"/>
                <w:sz w:val="18"/>
                <w:szCs w:val="18"/>
              </w:rPr>
            </w:pPr>
            <w:r>
              <w:rPr>
                <w:rFonts w:ascii="Times New Roman" w:hAnsi="Times New Roman"/>
                <w:sz w:val="18"/>
                <w:szCs w:val="18"/>
              </w:rPr>
              <w:t xml:space="preserve">L’indicatore si riferisce al 2019 e, pertanto, il livello di partenza è pari a 0; </w:t>
            </w:r>
          </w:p>
        </w:tc>
      </w:tr>
      <w:tr w:rsidR="008854D3" w:rsidRPr="00E63330" w:rsidTr="009F0B9F">
        <w:trPr>
          <w:trHeight w:val="1403"/>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EC0A63">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2</w:t>
            </w:r>
            <w:r w:rsidRPr="003C3367">
              <w:rPr>
                <w:rFonts w:ascii="Times New Roman" w:hAnsi="Times New Roman"/>
                <w:sz w:val="18"/>
                <w:szCs w:val="18"/>
              </w:rPr>
              <w:t xml:space="preserve">: Indicatore di realizzazione delle previsioni di competenza concernenti le entrate correnti </w:t>
            </w:r>
            <w:r w:rsidRPr="003C3367">
              <w:rPr>
                <w:rFonts w:ascii="Times New Roman" w:hAnsi="Times New Roman"/>
                <w:i/>
                <w:sz w:val="18"/>
                <w:szCs w:val="18"/>
              </w:rPr>
              <w:t>(Fonte: Piano degli indicatori e dei risultati attesi di bilancio)</w:t>
            </w:r>
            <w:r w:rsidR="00E74997">
              <w:rPr>
                <w:rFonts w:ascii="Times New Roman" w:hAnsi="Times New Roman"/>
                <w:i/>
                <w:sz w:val="18"/>
                <w:szCs w:val="18"/>
              </w:rPr>
              <w:t xml:space="preserve"> </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p w:rsidR="00CB2856" w:rsidRPr="003C3367"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w:t>
            </w:r>
          </w:p>
        </w:tc>
        <w:tc>
          <w:tcPr>
            <w:tcW w:w="0" w:type="auto"/>
            <w:shd w:val="clear" w:color="auto" w:fill="auto"/>
            <w:vAlign w:val="center"/>
          </w:tcPr>
          <w:p w:rsidR="00CB2856" w:rsidRPr="003C3367" w:rsidRDefault="00CB2856" w:rsidP="00E74997">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&lt;= 80% </w:t>
            </w:r>
          </w:p>
        </w:tc>
        <w:tc>
          <w:tcPr>
            <w:tcW w:w="0" w:type="auto"/>
          </w:tcPr>
          <w:p w:rsidR="00CB2856" w:rsidRPr="00590BFC" w:rsidRDefault="00CB2856" w:rsidP="00AD0FFB">
            <w:pPr>
              <w:tabs>
                <w:tab w:val="left" w:pos="287"/>
              </w:tabs>
              <w:spacing w:after="120"/>
              <w:jc w:val="center"/>
              <w:rPr>
                <w:rFonts w:ascii="Times New Roman" w:hAnsi="Times New Roman"/>
                <w:sz w:val="18"/>
                <w:szCs w:val="18"/>
              </w:rPr>
            </w:pPr>
            <w:r>
              <w:rPr>
                <w:rFonts w:ascii="Times New Roman" w:hAnsi="Times New Roman"/>
                <w:sz w:val="18"/>
                <w:szCs w:val="18"/>
              </w:rPr>
              <w:t xml:space="preserve">L’indicatore si riferisce al 2019 e, pertanto, il livello di partenza è pari a 0; </w:t>
            </w:r>
          </w:p>
        </w:tc>
      </w:tr>
      <w:tr w:rsidR="008854D3" w:rsidRPr="00E63330" w:rsidTr="009F0B9F">
        <w:trPr>
          <w:trHeight w:val="1396"/>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EC0A63">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3</w:t>
            </w:r>
            <w:r w:rsidRPr="003C3367">
              <w:rPr>
                <w:rFonts w:ascii="Times New Roman" w:hAnsi="Times New Roman"/>
                <w:sz w:val="18"/>
                <w:szCs w:val="18"/>
              </w:rPr>
              <w:t xml:space="preserve"> Incidenza spese rigide (disavanzo, personale e debito) su entrate correnti </w:t>
            </w:r>
            <w:r w:rsidRPr="003C3367">
              <w:rPr>
                <w:rFonts w:ascii="Times New Roman" w:hAnsi="Times New Roman"/>
                <w:i/>
                <w:sz w:val="18"/>
                <w:szCs w:val="18"/>
              </w:rPr>
              <w:t>(Fonte: Piano degli indicatori e dei risultati attesi di bilancio)</w:t>
            </w:r>
            <w:r w:rsidR="00E74997">
              <w:rPr>
                <w:rFonts w:ascii="Times New Roman" w:hAnsi="Times New Roman"/>
                <w:i/>
                <w:sz w:val="18"/>
                <w:szCs w:val="18"/>
              </w:rPr>
              <w:t xml:space="preserve"> </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tc>
        <w:tc>
          <w:tcPr>
            <w:tcW w:w="0" w:type="auto"/>
            <w:shd w:val="clear" w:color="auto" w:fill="auto"/>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w:t>
            </w:r>
          </w:p>
        </w:tc>
        <w:tc>
          <w:tcPr>
            <w:tcW w:w="0" w:type="auto"/>
            <w:shd w:val="clear" w:color="auto" w:fill="auto"/>
            <w:vAlign w:val="center"/>
          </w:tcPr>
          <w:p w:rsidR="00CB2856" w:rsidRPr="003C3367" w:rsidRDefault="00CB2856" w:rsidP="00E74997">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&lt; 50% </w:t>
            </w:r>
          </w:p>
        </w:tc>
        <w:tc>
          <w:tcPr>
            <w:tcW w:w="0" w:type="auto"/>
          </w:tcPr>
          <w:p w:rsidR="00CB2856" w:rsidRPr="00590BFC" w:rsidRDefault="00CB2856" w:rsidP="00AD0FFB">
            <w:pPr>
              <w:tabs>
                <w:tab w:val="left" w:pos="287"/>
              </w:tabs>
              <w:spacing w:after="120"/>
              <w:jc w:val="center"/>
              <w:rPr>
                <w:rFonts w:ascii="Times New Roman" w:hAnsi="Times New Roman"/>
                <w:sz w:val="18"/>
                <w:szCs w:val="18"/>
              </w:rPr>
            </w:pPr>
            <w:r>
              <w:rPr>
                <w:rFonts w:ascii="Times New Roman" w:hAnsi="Times New Roman"/>
                <w:sz w:val="18"/>
                <w:szCs w:val="18"/>
              </w:rPr>
              <w:t xml:space="preserve">L’indicatore si riferisce al 2019 e, pertanto, il livello di partenza è pari a 0; </w:t>
            </w:r>
          </w:p>
        </w:tc>
      </w:tr>
      <w:tr w:rsidR="008854D3" w:rsidRPr="00E63330" w:rsidTr="009F0B9F">
        <w:trPr>
          <w:trHeight w:val="1404"/>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EC0A63">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4</w:t>
            </w:r>
            <w:r w:rsidRPr="003C3367">
              <w:rPr>
                <w:rFonts w:ascii="Times New Roman" w:hAnsi="Times New Roman"/>
                <w:sz w:val="18"/>
                <w:szCs w:val="18"/>
              </w:rPr>
              <w:t xml:space="preserve"> Indicatore di smaltimento debiti commerciali Stanziamento di cassa </w:t>
            </w:r>
            <w:r w:rsidRPr="003C3367">
              <w:rPr>
                <w:rFonts w:ascii="Times New Roman" w:hAnsi="Times New Roman"/>
                <w:i/>
                <w:sz w:val="18"/>
                <w:szCs w:val="18"/>
              </w:rPr>
              <w:t xml:space="preserve">(Fonte: Piano degli indicatori e dei risultati attesi di bilancio) </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p w:rsidR="00CB2856" w:rsidRPr="003C3367"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w:t>
            </w:r>
          </w:p>
        </w:tc>
        <w:tc>
          <w:tcPr>
            <w:tcW w:w="0" w:type="auto"/>
            <w:shd w:val="clear" w:color="auto" w:fill="auto"/>
            <w:vAlign w:val="center"/>
          </w:tcPr>
          <w:p w:rsidR="00CB2856" w:rsidRPr="003C3367" w:rsidRDefault="00CB2856" w:rsidP="00E74997">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&lt;100% </w:t>
            </w:r>
          </w:p>
        </w:tc>
        <w:tc>
          <w:tcPr>
            <w:tcW w:w="0" w:type="auto"/>
          </w:tcPr>
          <w:p w:rsidR="00CB2856" w:rsidRPr="00590BFC" w:rsidRDefault="00CB2856" w:rsidP="00AD0FFB">
            <w:pPr>
              <w:tabs>
                <w:tab w:val="left" w:pos="287"/>
              </w:tabs>
              <w:spacing w:after="120"/>
              <w:jc w:val="center"/>
              <w:rPr>
                <w:rFonts w:ascii="Times New Roman" w:hAnsi="Times New Roman"/>
                <w:sz w:val="18"/>
                <w:szCs w:val="18"/>
              </w:rPr>
            </w:pPr>
            <w:r>
              <w:rPr>
                <w:rFonts w:ascii="Times New Roman" w:hAnsi="Times New Roman"/>
                <w:sz w:val="18"/>
                <w:szCs w:val="18"/>
              </w:rPr>
              <w:t xml:space="preserve">L’indicatore si riferisce al 2019 e, pertanto, il livello di partenza è pari a 0; </w:t>
            </w:r>
          </w:p>
        </w:tc>
      </w:tr>
      <w:tr w:rsidR="008854D3" w:rsidRPr="00E63330" w:rsidTr="009F0B9F">
        <w:trPr>
          <w:trHeight w:val="1115"/>
          <w:jc w:val="center"/>
        </w:trPr>
        <w:tc>
          <w:tcPr>
            <w:tcW w:w="0" w:type="auto"/>
            <w:vMerge w:val="restart"/>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1.3</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b/>
                <w:sz w:val="18"/>
                <w:szCs w:val="18"/>
              </w:rPr>
            </w:pPr>
            <w:r w:rsidRPr="003C3367">
              <w:rPr>
                <w:rFonts w:ascii="Times New Roman" w:hAnsi="Times New Roman"/>
                <w:sz w:val="18"/>
                <w:szCs w:val="18"/>
              </w:rPr>
              <w:t xml:space="preserve">I.1.3.1 Numero di Piani d’azione, definiti in fase di audit, implementati dalle Funzioni/OODD entro il termine indicato (&gt;=80%) (Riscontrabili dalle 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 (</w:t>
            </w:r>
            <w:r w:rsidRPr="003C3367">
              <w:rPr>
                <w:rFonts w:ascii="Times New Roman" w:hAnsi="Times New Roman"/>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&gt;=80%</w:t>
            </w:r>
          </w:p>
        </w:tc>
        <w:tc>
          <w:tcPr>
            <w:tcW w:w="0" w:type="auto"/>
          </w:tcPr>
          <w:p w:rsidR="00CB2856" w:rsidRPr="00590BFC" w:rsidRDefault="00CB2856" w:rsidP="00AD0FFB">
            <w:pPr>
              <w:tabs>
                <w:tab w:val="left" w:pos="287"/>
              </w:tabs>
              <w:spacing w:after="120"/>
              <w:jc w:val="both"/>
              <w:rPr>
                <w:rFonts w:ascii="Times New Roman" w:hAnsi="Times New Roman"/>
                <w:sz w:val="18"/>
                <w:szCs w:val="18"/>
              </w:rPr>
            </w:pPr>
            <w:r>
              <w:rPr>
                <w:rFonts w:ascii="Times New Roman" w:hAnsi="Times New Roman"/>
                <w:sz w:val="18"/>
                <w:szCs w:val="18"/>
              </w:rPr>
              <w:t xml:space="preserve">L’indicatore si riferisce alle risultanze dei follow-up che si svolgeranno nel 2019; il livello di partenza è, pertanto, pari a 0. </w:t>
            </w:r>
          </w:p>
        </w:tc>
      </w:tr>
      <w:tr w:rsidR="008854D3" w:rsidRPr="00E63330" w:rsidTr="009F0B9F">
        <w:trPr>
          <w:trHeight w:val="1115"/>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AD0FFB">
            <w:pPr>
              <w:autoSpaceDE w:val="0"/>
              <w:autoSpaceDN w:val="0"/>
              <w:adjustRightInd w:val="0"/>
              <w:spacing w:after="0"/>
              <w:jc w:val="both"/>
              <w:rPr>
                <w:rFonts w:ascii="Times New Roman" w:hAnsi="Times New Roman"/>
                <w:b/>
                <w:sz w:val="18"/>
                <w:szCs w:val="18"/>
              </w:rPr>
            </w:pPr>
            <w:r w:rsidRPr="003C3367">
              <w:rPr>
                <w:rFonts w:ascii="Times New Roman" w:hAnsi="Times New Roman"/>
                <w:b/>
                <w:sz w:val="18"/>
                <w:szCs w:val="18"/>
              </w:rPr>
              <w:t>I.1.3.2 Numero di incontri formativi/informativi con i CAA, l’ordine degli Agronomi e degli agrotecnici (&gt;= 5) (riscontrabili dai verbali redatti dalla Direzione)</w:t>
            </w:r>
          </w:p>
          <w:p w:rsidR="00CB2856" w:rsidRPr="003C3367" w:rsidRDefault="00CB2856" w:rsidP="003C3367">
            <w:pPr>
              <w:autoSpaceDE w:val="0"/>
              <w:autoSpaceDN w:val="0"/>
              <w:adjustRightInd w:val="0"/>
              <w:spacing w:after="0"/>
              <w:jc w:val="both"/>
              <w:rPr>
                <w:rFonts w:ascii="Times New Roman" w:hAnsi="Times New Roman"/>
                <w:b/>
                <w:sz w:val="18"/>
                <w:szCs w:val="18"/>
              </w:rPr>
            </w:pPr>
            <w:r w:rsidRPr="003C3367">
              <w:rPr>
                <w:rFonts w:ascii="Times New Roman" w:hAnsi="Times New Roman"/>
                <w:b/>
                <w:sz w:val="18"/>
                <w:szCs w:val="18"/>
              </w:rPr>
              <w:t>(</w:t>
            </w:r>
            <w:r w:rsidRPr="003C3367">
              <w:rPr>
                <w:rFonts w:ascii="Times New Roman" w:hAnsi="Times New Roman"/>
                <w:b/>
                <w:sz w:val="18"/>
                <w:szCs w:val="18"/>
                <w:u w:val="single"/>
              </w:rPr>
              <w:t xml:space="preserve">Peso </w:t>
            </w:r>
            <w:r w:rsidR="00CB3C4F">
              <w:rPr>
                <w:rFonts w:ascii="Times New Roman" w:hAnsi="Times New Roman"/>
                <w:b/>
                <w:sz w:val="18"/>
                <w:szCs w:val="18"/>
                <w:u w:val="single"/>
              </w:rPr>
              <w:t>1</w:t>
            </w:r>
            <w:r w:rsidRPr="003C3367">
              <w:rPr>
                <w:rFonts w:ascii="Times New Roman" w:hAnsi="Times New Roman"/>
                <w:b/>
                <w:sz w:val="18"/>
                <w:szCs w:val="18"/>
                <w:u w:val="single"/>
              </w:rPr>
              <w:t>0%</w:t>
            </w:r>
            <w:r w:rsidRPr="003C3367">
              <w:rPr>
                <w:rFonts w:ascii="Times New Roman" w:hAnsi="Times New Roman"/>
                <w:b/>
                <w:sz w:val="18"/>
                <w:szCs w:val="18"/>
              </w:rPr>
              <w:t>)</w:t>
            </w:r>
          </w:p>
        </w:tc>
        <w:tc>
          <w:tcPr>
            <w:tcW w:w="0" w:type="auto"/>
            <w:shd w:val="clear" w:color="auto" w:fill="auto"/>
            <w:vAlign w:val="center"/>
          </w:tcPr>
          <w:p w:rsidR="00CB2856" w:rsidRPr="003C3367" w:rsidRDefault="008854D3" w:rsidP="00AD0FFB">
            <w:pPr>
              <w:tabs>
                <w:tab w:val="left" w:pos="287"/>
              </w:tabs>
              <w:spacing w:after="120"/>
              <w:jc w:val="both"/>
              <w:rPr>
                <w:rFonts w:ascii="Times New Roman" w:hAnsi="Times New Roman"/>
                <w:b/>
                <w:sz w:val="18"/>
                <w:szCs w:val="18"/>
              </w:rPr>
            </w:pPr>
            <w:r>
              <w:rPr>
                <w:rFonts w:ascii="Times New Roman" w:hAnsi="Times New Roman"/>
                <w:b/>
                <w:sz w:val="18"/>
                <w:szCs w:val="18"/>
              </w:rPr>
              <w:t>V</w:t>
            </w:r>
            <w:r w:rsidR="00CB2856" w:rsidRPr="003C3367">
              <w:rPr>
                <w:rFonts w:ascii="Times New Roman" w:hAnsi="Times New Roman"/>
                <w:b/>
                <w:sz w:val="18"/>
                <w:szCs w:val="18"/>
              </w:rPr>
              <w:t>erbali redatti dalla Direzione</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&gt;=3</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&gt;=5</w:t>
            </w:r>
          </w:p>
        </w:tc>
        <w:tc>
          <w:tcPr>
            <w:tcW w:w="0" w:type="auto"/>
          </w:tcPr>
          <w:p w:rsidR="00CB2856" w:rsidRPr="00590BFC" w:rsidRDefault="00CB2856" w:rsidP="00CB2856">
            <w:pPr>
              <w:tabs>
                <w:tab w:val="left" w:pos="287"/>
              </w:tabs>
              <w:spacing w:after="120"/>
              <w:jc w:val="both"/>
              <w:rPr>
                <w:rFonts w:ascii="Times New Roman" w:hAnsi="Times New Roman"/>
                <w:b/>
                <w:sz w:val="18"/>
                <w:szCs w:val="18"/>
              </w:rPr>
            </w:pPr>
            <w:r>
              <w:rPr>
                <w:rFonts w:ascii="Times New Roman" w:hAnsi="Times New Roman"/>
                <w:sz w:val="18"/>
                <w:szCs w:val="18"/>
              </w:rPr>
              <w:t>L’indicatore si riferisce alle riunioni che si svolgeranno nel 2019; il livello di partenza è, pertanto, pari a 0.</w:t>
            </w:r>
          </w:p>
        </w:tc>
      </w:tr>
      <w:tr w:rsidR="008854D3" w:rsidRPr="00E63330" w:rsidTr="009F0B9F">
        <w:trPr>
          <w:trHeight w:val="1030"/>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b/>
                <w:sz w:val="18"/>
                <w:szCs w:val="18"/>
              </w:rPr>
            </w:pPr>
            <w:r w:rsidRPr="003C3367">
              <w:rPr>
                <w:rFonts w:ascii="Times New Roman" w:hAnsi="Times New Roman"/>
                <w:b/>
                <w:sz w:val="18"/>
                <w:szCs w:val="18"/>
              </w:rPr>
              <w:t>I.1.3.3 Riduzione del tasso d’errore presente nelle statistiche di controllo relative al FEASR SIGC (&lt;= 8%) (riscontrabile dalle statistiche di controllo per come comunicate alla Commissione Europea tramite il canale di comunicazione ufficiale) (</w:t>
            </w:r>
            <w:r w:rsidRPr="003C3367">
              <w:rPr>
                <w:rFonts w:ascii="Times New Roman" w:hAnsi="Times New Roman"/>
                <w:b/>
                <w:sz w:val="18"/>
                <w:szCs w:val="18"/>
                <w:u w:val="single"/>
              </w:rPr>
              <w:t>Peso 35%</w:t>
            </w:r>
            <w:r w:rsidRPr="003C3367">
              <w:rPr>
                <w:rFonts w:ascii="Times New Roman" w:hAnsi="Times New Roman"/>
                <w:b/>
                <w:sz w:val="18"/>
                <w:szCs w:val="18"/>
              </w:rPr>
              <w:t>)</w:t>
            </w:r>
          </w:p>
        </w:tc>
        <w:tc>
          <w:tcPr>
            <w:tcW w:w="0" w:type="auto"/>
            <w:shd w:val="clear" w:color="auto" w:fill="auto"/>
            <w:vAlign w:val="center"/>
          </w:tcPr>
          <w:p w:rsidR="00CB2856" w:rsidRPr="003C3367" w:rsidRDefault="008854D3" w:rsidP="00AD0FFB">
            <w:pPr>
              <w:tabs>
                <w:tab w:val="left" w:pos="287"/>
              </w:tabs>
              <w:spacing w:after="120"/>
              <w:jc w:val="both"/>
              <w:rPr>
                <w:rFonts w:ascii="Times New Roman" w:hAnsi="Times New Roman"/>
                <w:b/>
                <w:sz w:val="18"/>
                <w:szCs w:val="18"/>
              </w:rPr>
            </w:pPr>
            <w:r>
              <w:rPr>
                <w:rFonts w:ascii="Times New Roman" w:hAnsi="Times New Roman"/>
                <w:b/>
                <w:sz w:val="18"/>
                <w:szCs w:val="18"/>
              </w:rPr>
              <w:t>S</w:t>
            </w:r>
            <w:r w:rsidR="00CB2856" w:rsidRPr="003C3367">
              <w:rPr>
                <w:rFonts w:ascii="Times New Roman" w:hAnsi="Times New Roman"/>
                <w:b/>
                <w:sz w:val="18"/>
                <w:szCs w:val="18"/>
              </w:rPr>
              <w:t>tatistiche di controllo per come comunicate alla Commissione Europea tramite il canale di comunicazione ufficiale</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Non riscontrabile</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&lt;=8%</w:t>
            </w:r>
          </w:p>
        </w:tc>
        <w:tc>
          <w:tcPr>
            <w:tcW w:w="0" w:type="auto"/>
          </w:tcPr>
          <w:p w:rsidR="00CB2856" w:rsidRPr="00590BFC" w:rsidRDefault="00CB2856" w:rsidP="00CB2856">
            <w:pPr>
              <w:tabs>
                <w:tab w:val="left" w:pos="287"/>
              </w:tabs>
              <w:spacing w:after="120"/>
              <w:jc w:val="both"/>
              <w:rPr>
                <w:rFonts w:ascii="Times New Roman" w:hAnsi="Times New Roman"/>
                <w:b/>
                <w:sz w:val="18"/>
                <w:szCs w:val="18"/>
              </w:rPr>
            </w:pPr>
            <w:r>
              <w:rPr>
                <w:rFonts w:ascii="Times New Roman" w:hAnsi="Times New Roman"/>
                <w:sz w:val="18"/>
                <w:szCs w:val="18"/>
              </w:rPr>
              <w:t>L’indicatore si riferisce al tasso di errore riscontrabile nella statiche del 15 luglio 2019; il livello di partenza è, pertanto, pari a 0.</w:t>
            </w:r>
          </w:p>
        </w:tc>
      </w:tr>
      <w:tr w:rsidR="008854D3" w:rsidRPr="00E63330" w:rsidTr="009F0B9F">
        <w:trPr>
          <w:trHeight w:val="622"/>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3C3367">
            <w:pPr>
              <w:tabs>
                <w:tab w:val="left" w:pos="287"/>
              </w:tabs>
              <w:spacing w:after="120"/>
              <w:jc w:val="both"/>
              <w:rPr>
                <w:rFonts w:ascii="Times New Roman" w:hAnsi="Times New Roman"/>
                <w:b/>
                <w:sz w:val="18"/>
                <w:szCs w:val="18"/>
              </w:rPr>
            </w:pPr>
            <w:r w:rsidRPr="003C3367">
              <w:rPr>
                <w:rFonts w:ascii="Times New Roman" w:hAnsi="Times New Roman"/>
                <w:b/>
                <w:sz w:val="18"/>
                <w:szCs w:val="18"/>
              </w:rPr>
              <w:t xml:space="preserve">I.1.3.4 Riduzione del tasso d’errore presente nelle statistiche di controllo relative al FEASR NON SIGC (&lt;= </w:t>
            </w:r>
            <w:r w:rsidR="003C3367">
              <w:rPr>
                <w:rFonts w:ascii="Times New Roman" w:hAnsi="Times New Roman"/>
                <w:b/>
                <w:sz w:val="18"/>
                <w:szCs w:val="18"/>
              </w:rPr>
              <w:t>3</w:t>
            </w:r>
            <w:r w:rsidRPr="003C3367">
              <w:rPr>
                <w:rFonts w:ascii="Times New Roman" w:hAnsi="Times New Roman"/>
                <w:b/>
                <w:sz w:val="18"/>
                <w:szCs w:val="18"/>
              </w:rPr>
              <w:t>)  (fonte statistiche di controllo per come comunicate alla Commissione Europea tramite il canale di comunicazione ufficiale) (</w:t>
            </w:r>
            <w:r w:rsidRPr="003C3367">
              <w:rPr>
                <w:rFonts w:ascii="Times New Roman" w:hAnsi="Times New Roman"/>
                <w:b/>
                <w:sz w:val="18"/>
                <w:szCs w:val="18"/>
                <w:u w:val="single"/>
              </w:rPr>
              <w:t>Peso 35%</w:t>
            </w:r>
            <w:r w:rsidRPr="003C3367">
              <w:rPr>
                <w:rFonts w:ascii="Times New Roman" w:hAnsi="Times New Roman"/>
                <w:b/>
                <w:sz w:val="18"/>
                <w:szCs w:val="18"/>
              </w:rPr>
              <w:t>)</w:t>
            </w:r>
          </w:p>
        </w:tc>
        <w:tc>
          <w:tcPr>
            <w:tcW w:w="0" w:type="auto"/>
            <w:shd w:val="clear" w:color="auto" w:fill="auto"/>
            <w:vAlign w:val="center"/>
          </w:tcPr>
          <w:p w:rsidR="00CB2856" w:rsidRPr="003C3367" w:rsidRDefault="008854D3" w:rsidP="00AD0FFB">
            <w:pPr>
              <w:tabs>
                <w:tab w:val="left" w:pos="287"/>
              </w:tabs>
              <w:spacing w:after="120"/>
              <w:jc w:val="both"/>
              <w:rPr>
                <w:rFonts w:ascii="Times New Roman" w:hAnsi="Times New Roman"/>
                <w:b/>
                <w:sz w:val="18"/>
                <w:szCs w:val="18"/>
              </w:rPr>
            </w:pPr>
            <w:r>
              <w:rPr>
                <w:rFonts w:ascii="Times New Roman" w:hAnsi="Times New Roman"/>
                <w:b/>
                <w:sz w:val="18"/>
                <w:szCs w:val="18"/>
              </w:rPr>
              <w:t>S</w:t>
            </w:r>
            <w:r w:rsidR="00CB2856" w:rsidRPr="003C3367">
              <w:rPr>
                <w:rFonts w:ascii="Times New Roman" w:hAnsi="Times New Roman"/>
                <w:b/>
                <w:sz w:val="18"/>
                <w:szCs w:val="18"/>
              </w:rPr>
              <w:t>tatistiche di controllo per come comunicate alla Commissione Europea tramite il canale di comunicazione ufficiale</w:t>
            </w:r>
          </w:p>
        </w:tc>
        <w:tc>
          <w:tcPr>
            <w:tcW w:w="0" w:type="auto"/>
            <w:shd w:val="clear" w:color="auto" w:fill="auto"/>
            <w:vAlign w:val="center"/>
          </w:tcPr>
          <w:p w:rsidR="00CB2856" w:rsidRPr="003C3367" w:rsidRDefault="00CB2856"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Non riscontrabile</w:t>
            </w:r>
          </w:p>
        </w:tc>
        <w:tc>
          <w:tcPr>
            <w:tcW w:w="0" w:type="auto"/>
            <w:shd w:val="clear" w:color="auto" w:fill="auto"/>
            <w:vAlign w:val="center"/>
          </w:tcPr>
          <w:p w:rsidR="00CB2856" w:rsidRPr="003C3367" w:rsidRDefault="003C3367" w:rsidP="009F0B9F">
            <w:pPr>
              <w:tabs>
                <w:tab w:val="left" w:pos="287"/>
              </w:tabs>
              <w:spacing w:after="120"/>
              <w:jc w:val="center"/>
              <w:rPr>
                <w:rFonts w:ascii="Times New Roman" w:hAnsi="Times New Roman"/>
                <w:b/>
                <w:sz w:val="18"/>
                <w:szCs w:val="18"/>
              </w:rPr>
            </w:pPr>
            <w:r>
              <w:rPr>
                <w:rFonts w:ascii="Times New Roman" w:hAnsi="Times New Roman"/>
                <w:b/>
                <w:sz w:val="18"/>
                <w:szCs w:val="18"/>
              </w:rPr>
              <w:t>&lt;=3</w:t>
            </w:r>
          </w:p>
        </w:tc>
        <w:tc>
          <w:tcPr>
            <w:tcW w:w="0" w:type="auto"/>
          </w:tcPr>
          <w:p w:rsidR="00CB2856" w:rsidRPr="00590BFC" w:rsidRDefault="00CB2856" w:rsidP="00AD0FFB">
            <w:pPr>
              <w:tabs>
                <w:tab w:val="left" w:pos="287"/>
              </w:tabs>
              <w:spacing w:after="120"/>
              <w:jc w:val="both"/>
              <w:rPr>
                <w:rFonts w:ascii="Times New Roman" w:hAnsi="Times New Roman"/>
                <w:b/>
                <w:sz w:val="18"/>
                <w:szCs w:val="18"/>
              </w:rPr>
            </w:pPr>
            <w:r>
              <w:rPr>
                <w:rFonts w:ascii="Times New Roman" w:hAnsi="Times New Roman"/>
                <w:sz w:val="18"/>
                <w:szCs w:val="18"/>
              </w:rPr>
              <w:t>L’indicatore si riferisce al tasso di errore riscontrabile nella statiche del 15 luglio 2019; il livello di partenza è, pertanto, pari a 0.</w:t>
            </w:r>
          </w:p>
        </w:tc>
      </w:tr>
      <w:tr w:rsidR="008854D3" w:rsidRPr="00E63330" w:rsidTr="009F0B9F">
        <w:trPr>
          <w:trHeight w:val="2740"/>
          <w:jc w:val="center"/>
        </w:trPr>
        <w:tc>
          <w:tcPr>
            <w:tcW w:w="0" w:type="auto"/>
            <w:vMerge w:val="restart"/>
            <w:vAlign w:val="center"/>
          </w:tcPr>
          <w:p w:rsidR="00CB2856" w:rsidRPr="003C3367" w:rsidRDefault="00CB2856"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1.4</w:t>
            </w: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b/>
                <w:sz w:val="18"/>
                <w:szCs w:val="18"/>
              </w:rPr>
            </w:pPr>
            <w:r w:rsidRPr="003C3367">
              <w:rPr>
                <w:rFonts w:ascii="Times New Roman" w:hAnsi="Times New Roman"/>
                <w:b/>
                <w:sz w:val="18"/>
                <w:szCs w:val="18"/>
              </w:rPr>
              <w:t>I.4.1 Numero di monitoraggi effettuati con riferimento alle statistiche relative alle misure FEASR non SIGC allo scopo di verificare il processo di istruttoria delle domande di pagamento (Fonte: verbali redatti dall’Ufficio competente individuato formalmente dalla Direzione) (</w:t>
            </w:r>
            <w:r w:rsidRPr="003C3367">
              <w:rPr>
                <w:rFonts w:ascii="Times New Roman" w:hAnsi="Times New Roman"/>
                <w:b/>
                <w:sz w:val="18"/>
                <w:szCs w:val="18"/>
                <w:u w:val="single"/>
              </w:rPr>
              <w:t>PESO 40%)</w:t>
            </w:r>
          </w:p>
        </w:tc>
        <w:tc>
          <w:tcPr>
            <w:tcW w:w="0" w:type="auto"/>
            <w:shd w:val="clear" w:color="auto" w:fill="auto"/>
            <w:vAlign w:val="center"/>
          </w:tcPr>
          <w:p w:rsidR="00CB2856" w:rsidRPr="003C3367" w:rsidRDefault="008854D3" w:rsidP="00EC0A63">
            <w:pPr>
              <w:tabs>
                <w:tab w:val="left" w:pos="287"/>
              </w:tabs>
              <w:spacing w:after="120"/>
              <w:jc w:val="both"/>
              <w:rPr>
                <w:rFonts w:ascii="Times New Roman" w:hAnsi="Times New Roman"/>
                <w:b/>
                <w:sz w:val="18"/>
                <w:szCs w:val="18"/>
              </w:rPr>
            </w:pPr>
            <w:r>
              <w:rPr>
                <w:rFonts w:ascii="Times New Roman" w:hAnsi="Times New Roman"/>
                <w:b/>
                <w:sz w:val="18"/>
                <w:szCs w:val="18"/>
              </w:rPr>
              <w:t>V</w:t>
            </w:r>
            <w:r w:rsidR="00CB2856" w:rsidRPr="003C3367">
              <w:rPr>
                <w:rFonts w:ascii="Times New Roman" w:hAnsi="Times New Roman"/>
                <w:b/>
                <w:sz w:val="18"/>
                <w:szCs w:val="18"/>
              </w:rPr>
              <w:t>erbali redatti dall’Ufficio competente individuato formalmente dalla Direzione</w:t>
            </w:r>
          </w:p>
        </w:tc>
        <w:tc>
          <w:tcPr>
            <w:tcW w:w="0" w:type="auto"/>
            <w:shd w:val="clear" w:color="auto" w:fill="auto"/>
            <w:vAlign w:val="center"/>
          </w:tcPr>
          <w:p w:rsidR="00CB2856" w:rsidRPr="003C3367" w:rsidRDefault="00CB2856" w:rsidP="00EC0A63">
            <w:pPr>
              <w:tabs>
                <w:tab w:val="left" w:pos="287"/>
              </w:tabs>
              <w:spacing w:after="120"/>
              <w:ind w:left="287"/>
              <w:jc w:val="both"/>
              <w:rPr>
                <w:rFonts w:ascii="Times New Roman" w:hAnsi="Times New Roman"/>
                <w:b/>
                <w:sz w:val="18"/>
                <w:szCs w:val="18"/>
              </w:rPr>
            </w:pPr>
            <w:r w:rsidRPr="003C3367">
              <w:rPr>
                <w:rFonts w:ascii="Times New Roman" w:hAnsi="Times New Roman"/>
                <w:b/>
                <w:sz w:val="18"/>
                <w:szCs w:val="18"/>
              </w:rPr>
              <w:t>(&gt;= 1)</w:t>
            </w:r>
          </w:p>
        </w:tc>
        <w:tc>
          <w:tcPr>
            <w:tcW w:w="0" w:type="auto"/>
            <w:shd w:val="clear" w:color="auto" w:fill="auto"/>
            <w:vAlign w:val="center"/>
          </w:tcPr>
          <w:p w:rsidR="00CB2856" w:rsidRPr="003C3367" w:rsidRDefault="00CB2856" w:rsidP="00EC0A63">
            <w:pPr>
              <w:tabs>
                <w:tab w:val="left" w:pos="287"/>
              </w:tabs>
              <w:spacing w:after="120"/>
              <w:ind w:left="287"/>
              <w:jc w:val="both"/>
              <w:rPr>
                <w:rFonts w:ascii="Times New Roman" w:hAnsi="Times New Roman"/>
                <w:b/>
                <w:sz w:val="18"/>
                <w:szCs w:val="18"/>
              </w:rPr>
            </w:pPr>
            <w:r w:rsidRPr="003C3367">
              <w:rPr>
                <w:rFonts w:ascii="Times New Roman" w:hAnsi="Times New Roman"/>
                <w:b/>
                <w:sz w:val="18"/>
                <w:szCs w:val="18"/>
              </w:rPr>
              <w:t>(&gt;= 2)</w:t>
            </w:r>
          </w:p>
        </w:tc>
        <w:tc>
          <w:tcPr>
            <w:tcW w:w="0" w:type="auto"/>
          </w:tcPr>
          <w:p w:rsidR="00CB2856" w:rsidRPr="00590BFC" w:rsidRDefault="00CB2856" w:rsidP="00CB2856">
            <w:pPr>
              <w:tabs>
                <w:tab w:val="left" w:pos="287"/>
              </w:tabs>
              <w:spacing w:after="120"/>
              <w:jc w:val="both"/>
              <w:rPr>
                <w:rFonts w:ascii="Times New Roman" w:hAnsi="Times New Roman"/>
                <w:sz w:val="18"/>
                <w:szCs w:val="18"/>
              </w:rPr>
            </w:pPr>
            <w:r w:rsidRPr="000F4A75">
              <w:rPr>
                <w:rFonts w:ascii="Times New Roman" w:hAnsi="Times New Roman"/>
                <w:sz w:val="18"/>
                <w:szCs w:val="18"/>
              </w:rPr>
              <w:t>Si tratta di un’attività di nuova istituzione. il livello di partenza è, pertanto, pari a 0.</w:t>
            </w:r>
          </w:p>
        </w:tc>
      </w:tr>
      <w:tr w:rsidR="008854D3" w:rsidRPr="00E63330" w:rsidTr="009F0B9F">
        <w:trPr>
          <w:trHeight w:val="2371"/>
          <w:jc w:val="center"/>
        </w:trPr>
        <w:tc>
          <w:tcPr>
            <w:tcW w:w="0" w:type="auto"/>
            <w:vMerge/>
            <w:vAlign w:val="center"/>
          </w:tcPr>
          <w:p w:rsidR="00CB2856" w:rsidRPr="003C3367"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CB2856" w:rsidRPr="003C3367" w:rsidRDefault="00CB2856"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I.4.2 Numero di report inviati dalle Funzioni/Uffici al fine di consentire monitoraggi periodici dello stato d’avanzamento degli obiettivi strategici e operativi previsti dal Piano della Performance (&gt;= 10 – almeno 2 per ogni Struttura Dirigenziale) (Fonte report redatti dall’Ufficio </w:t>
            </w:r>
            <w:proofErr w:type="spellStart"/>
            <w:r w:rsidRPr="003C3367">
              <w:rPr>
                <w:rFonts w:ascii="Times New Roman" w:hAnsi="Times New Roman"/>
                <w:sz w:val="18"/>
                <w:szCs w:val="18"/>
              </w:rPr>
              <w:t>Monit</w:t>
            </w:r>
            <w:proofErr w:type="spellEnd"/>
            <w:r w:rsidRPr="003C3367">
              <w:rPr>
                <w:rFonts w:ascii="Times New Roman" w:hAnsi="Times New Roman"/>
                <w:sz w:val="18"/>
                <w:szCs w:val="18"/>
              </w:rPr>
              <w:t>. e Comunicazione) (</w:t>
            </w:r>
            <w:r w:rsidRPr="003C3367">
              <w:rPr>
                <w:rFonts w:ascii="Times New Roman" w:hAnsi="Times New Roman"/>
                <w:sz w:val="18"/>
                <w:szCs w:val="18"/>
                <w:u w:val="single"/>
              </w:rPr>
              <w:t>PESO 60%</w:t>
            </w:r>
            <w:r w:rsidRPr="003C3367">
              <w:rPr>
                <w:rFonts w:ascii="Times New Roman" w:hAnsi="Times New Roman"/>
                <w:sz w:val="18"/>
                <w:szCs w:val="18"/>
              </w:rPr>
              <w:t>)</w:t>
            </w:r>
          </w:p>
        </w:tc>
        <w:tc>
          <w:tcPr>
            <w:tcW w:w="0" w:type="auto"/>
            <w:shd w:val="clear" w:color="auto" w:fill="auto"/>
            <w:vAlign w:val="center"/>
          </w:tcPr>
          <w:p w:rsidR="00CB2856" w:rsidRPr="003C3367" w:rsidRDefault="00CB2856" w:rsidP="003C3367">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Report redatti dall’Ufficio </w:t>
            </w:r>
            <w:proofErr w:type="spellStart"/>
            <w:r w:rsidRPr="003C3367">
              <w:rPr>
                <w:rFonts w:ascii="Times New Roman" w:hAnsi="Times New Roman"/>
                <w:sz w:val="18"/>
                <w:szCs w:val="18"/>
              </w:rPr>
              <w:t>Monit</w:t>
            </w:r>
            <w:proofErr w:type="spellEnd"/>
            <w:r w:rsidRPr="003C3367">
              <w:rPr>
                <w:rFonts w:ascii="Times New Roman" w:hAnsi="Times New Roman"/>
                <w:sz w:val="18"/>
                <w:szCs w:val="18"/>
              </w:rPr>
              <w:t>. e Comunicazione</w:t>
            </w:r>
          </w:p>
        </w:tc>
        <w:tc>
          <w:tcPr>
            <w:tcW w:w="0" w:type="auto"/>
            <w:shd w:val="clear" w:color="auto" w:fill="auto"/>
            <w:vAlign w:val="center"/>
          </w:tcPr>
          <w:p w:rsidR="00CB2856" w:rsidRPr="003C3367" w:rsidRDefault="00CB2856" w:rsidP="005D58E2">
            <w:pPr>
              <w:tabs>
                <w:tab w:val="left" w:pos="287"/>
              </w:tabs>
              <w:spacing w:after="120"/>
              <w:jc w:val="both"/>
              <w:rPr>
                <w:rFonts w:ascii="Times New Roman" w:hAnsi="Times New Roman"/>
                <w:sz w:val="18"/>
                <w:szCs w:val="18"/>
              </w:rPr>
            </w:pPr>
            <w:r w:rsidRPr="003C3367">
              <w:rPr>
                <w:rFonts w:ascii="Times New Roman" w:hAnsi="Times New Roman"/>
                <w:sz w:val="18"/>
                <w:szCs w:val="18"/>
              </w:rPr>
              <w:t>&gt;= 5 -  almeno 1 per ogni Struttura Dirigenziale</w:t>
            </w:r>
          </w:p>
        </w:tc>
        <w:tc>
          <w:tcPr>
            <w:tcW w:w="0" w:type="auto"/>
            <w:shd w:val="clear" w:color="auto" w:fill="auto"/>
            <w:vAlign w:val="center"/>
          </w:tcPr>
          <w:p w:rsidR="00CB2856" w:rsidRPr="003C3367" w:rsidRDefault="00CB2856" w:rsidP="00862710">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&gt;= 10 </w:t>
            </w:r>
            <w:r>
              <w:rPr>
                <w:rFonts w:ascii="Times New Roman" w:hAnsi="Times New Roman"/>
                <w:sz w:val="18"/>
                <w:szCs w:val="18"/>
              </w:rPr>
              <w:t>-</w:t>
            </w:r>
            <w:r w:rsidRPr="003C3367">
              <w:rPr>
                <w:rFonts w:ascii="Times New Roman" w:hAnsi="Times New Roman"/>
                <w:sz w:val="18"/>
                <w:szCs w:val="18"/>
              </w:rPr>
              <w:t xml:space="preserve"> almeno </w:t>
            </w:r>
            <w:r w:rsidR="00862710">
              <w:rPr>
                <w:rFonts w:ascii="Times New Roman" w:hAnsi="Times New Roman"/>
                <w:sz w:val="18"/>
                <w:szCs w:val="18"/>
              </w:rPr>
              <w:t>2</w:t>
            </w:r>
            <w:r w:rsidRPr="003C3367">
              <w:rPr>
                <w:rFonts w:ascii="Times New Roman" w:hAnsi="Times New Roman"/>
                <w:sz w:val="18"/>
                <w:szCs w:val="18"/>
              </w:rPr>
              <w:t xml:space="preserve"> per ogni Struttura Dirigenziale</w:t>
            </w:r>
          </w:p>
        </w:tc>
        <w:tc>
          <w:tcPr>
            <w:tcW w:w="0" w:type="auto"/>
          </w:tcPr>
          <w:p w:rsidR="00CB2856" w:rsidRPr="00590BFC" w:rsidRDefault="000F4A75" w:rsidP="005D58E2">
            <w:pPr>
              <w:tabs>
                <w:tab w:val="left" w:pos="287"/>
              </w:tabs>
              <w:spacing w:after="120"/>
              <w:jc w:val="both"/>
              <w:rPr>
                <w:rFonts w:ascii="Times New Roman" w:hAnsi="Times New Roman"/>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trHeight w:val="1088"/>
          <w:jc w:val="center"/>
        </w:trPr>
        <w:tc>
          <w:tcPr>
            <w:tcW w:w="0" w:type="auto"/>
            <w:vMerge w:val="restart"/>
            <w:vAlign w:val="center"/>
          </w:tcPr>
          <w:p w:rsidR="000F4A75" w:rsidRPr="003C3367" w:rsidRDefault="000F4A75"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1.5</w:t>
            </w:r>
          </w:p>
        </w:tc>
        <w:tc>
          <w:tcPr>
            <w:tcW w:w="0" w:type="auto"/>
            <w:shd w:val="clear" w:color="auto" w:fill="auto"/>
            <w:vAlign w:val="center"/>
          </w:tcPr>
          <w:p w:rsidR="000F4A75" w:rsidRPr="003C3367" w:rsidRDefault="000F4A75" w:rsidP="008854D3">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I.1.5.1 </w:t>
            </w:r>
            <w:r w:rsidRPr="003C3367">
              <w:rPr>
                <w:rFonts w:ascii="Times New Roman" w:hAnsi="Times New Roman"/>
                <w:color w:val="000000"/>
                <w:sz w:val="18"/>
                <w:szCs w:val="18"/>
              </w:rPr>
              <w:t xml:space="preserve">Percentuale di ulteriori Misure </w:t>
            </w:r>
            <w:r w:rsidR="008854D3">
              <w:rPr>
                <w:rFonts w:ascii="Times New Roman" w:hAnsi="Times New Roman"/>
                <w:color w:val="000000"/>
                <w:sz w:val="18"/>
                <w:szCs w:val="18"/>
              </w:rPr>
              <w:t>d</w:t>
            </w:r>
            <w:r w:rsidRPr="003C3367">
              <w:rPr>
                <w:rFonts w:ascii="Times New Roman" w:hAnsi="Times New Roman"/>
                <w:color w:val="000000"/>
                <w:sz w:val="18"/>
                <w:szCs w:val="18"/>
              </w:rPr>
              <w:t xml:space="preserve">i Prevenzione della Corruzione attuate rispetto a quanto previsto nel Piano Anticorruzione </w:t>
            </w:r>
            <w:r w:rsidRPr="003C3367">
              <w:rPr>
                <w:rFonts w:ascii="Times New Roman" w:hAnsi="Times New Roman"/>
                <w:sz w:val="18"/>
                <w:szCs w:val="18"/>
              </w:rPr>
              <w:t>(</w:t>
            </w:r>
            <w:r w:rsidRPr="003C3367">
              <w:rPr>
                <w:rFonts w:ascii="Times New Roman" w:hAnsi="Times New Roman"/>
                <w:sz w:val="18"/>
                <w:szCs w:val="18"/>
                <w:u w:val="single"/>
              </w:rPr>
              <w:t xml:space="preserve">peso </w:t>
            </w:r>
            <w:r w:rsidRPr="00E74997">
              <w:rPr>
                <w:rFonts w:ascii="Times New Roman" w:hAnsi="Times New Roman"/>
                <w:sz w:val="18"/>
                <w:szCs w:val="18"/>
                <w:u w:val="single"/>
              </w:rPr>
              <w:t>8</w:t>
            </w:r>
            <w:r w:rsidRPr="003C3367">
              <w:rPr>
                <w:rFonts w:ascii="Times New Roman" w:hAnsi="Times New Roman"/>
                <w:sz w:val="18"/>
                <w:szCs w:val="18"/>
                <w:u w:val="single"/>
              </w:rPr>
              <w:t>0%</w:t>
            </w:r>
            <w:r w:rsidRPr="003C3367">
              <w:rPr>
                <w:rFonts w:ascii="Times New Roman" w:hAnsi="Times New Roman"/>
                <w:sz w:val="18"/>
                <w:szCs w:val="18"/>
              </w:rPr>
              <w:t>);</w:t>
            </w:r>
          </w:p>
        </w:tc>
        <w:tc>
          <w:tcPr>
            <w:tcW w:w="0" w:type="auto"/>
            <w:shd w:val="clear" w:color="auto" w:fill="auto"/>
            <w:vAlign w:val="center"/>
          </w:tcPr>
          <w:p w:rsidR="000F4A75" w:rsidRPr="003C3367" w:rsidRDefault="000F4A75" w:rsidP="00AD0FFB">
            <w:pPr>
              <w:tabs>
                <w:tab w:val="left" w:pos="287"/>
              </w:tabs>
              <w:spacing w:after="120"/>
              <w:jc w:val="both"/>
              <w:rPr>
                <w:rFonts w:ascii="Times New Roman" w:hAnsi="Times New Roman"/>
                <w:sz w:val="18"/>
                <w:szCs w:val="18"/>
              </w:rPr>
            </w:pPr>
            <w:r w:rsidRPr="003C3367">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rsidR="000F4A75" w:rsidRPr="003C3367" w:rsidRDefault="000F4A75" w:rsidP="005D58E2">
            <w:pPr>
              <w:tabs>
                <w:tab w:val="left" w:pos="287"/>
              </w:tabs>
              <w:spacing w:after="120"/>
              <w:jc w:val="both"/>
              <w:rPr>
                <w:rFonts w:ascii="Times New Roman" w:hAnsi="Times New Roman"/>
                <w:sz w:val="18"/>
                <w:szCs w:val="18"/>
              </w:rPr>
            </w:pPr>
            <w:r w:rsidRPr="003C3367">
              <w:rPr>
                <w:rFonts w:ascii="Times New Roman" w:hAnsi="Times New Roman"/>
                <w:sz w:val="18"/>
                <w:szCs w:val="18"/>
              </w:rPr>
              <w:t>&gt;=80% in relazione alle scadenza fissate al 30 Giugno</w:t>
            </w:r>
          </w:p>
        </w:tc>
        <w:tc>
          <w:tcPr>
            <w:tcW w:w="0" w:type="auto"/>
            <w:shd w:val="clear" w:color="auto" w:fill="auto"/>
            <w:vAlign w:val="center"/>
          </w:tcPr>
          <w:p w:rsidR="000F4A75" w:rsidRPr="003C3367" w:rsidRDefault="000F4A75" w:rsidP="00E74997">
            <w:pPr>
              <w:tabs>
                <w:tab w:val="left" w:pos="287"/>
              </w:tabs>
              <w:spacing w:after="120" w:line="240" w:lineRule="auto"/>
              <w:ind w:hanging="89"/>
              <w:jc w:val="both"/>
              <w:rPr>
                <w:rFonts w:ascii="Times New Roman" w:hAnsi="Times New Roman"/>
                <w:sz w:val="18"/>
                <w:szCs w:val="18"/>
              </w:rPr>
            </w:pPr>
            <w:r w:rsidRPr="003C3367">
              <w:rPr>
                <w:rFonts w:ascii="Times New Roman" w:hAnsi="Times New Roman"/>
                <w:color w:val="000000"/>
                <w:sz w:val="18"/>
                <w:szCs w:val="18"/>
              </w:rPr>
              <w:t>&gt;= 80%</w:t>
            </w:r>
            <w:r w:rsidRPr="003C3367">
              <w:rPr>
                <w:rFonts w:ascii="Times New Roman" w:hAnsi="Times New Roman"/>
                <w:sz w:val="18"/>
                <w:szCs w:val="18"/>
              </w:rPr>
              <w:t xml:space="preserve"> in relazione alle scadenza fissate al 31 Dicembre</w:t>
            </w:r>
          </w:p>
        </w:tc>
        <w:tc>
          <w:tcPr>
            <w:tcW w:w="0" w:type="auto"/>
          </w:tcPr>
          <w:p w:rsidR="000F4A75" w:rsidRPr="00590BFC" w:rsidRDefault="000F4A75" w:rsidP="005D58E2">
            <w:pPr>
              <w:tabs>
                <w:tab w:val="left" w:pos="287"/>
              </w:tabs>
              <w:spacing w:after="120"/>
              <w:jc w:val="both"/>
              <w:rPr>
                <w:rFonts w:ascii="Times New Roman" w:hAnsi="Times New Roman"/>
                <w:color w:val="000000"/>
                <w:sz w:val="18"/>
                <w:szCs w:val="18"/>
              </w:rPr>
            </w:pPr>
            <w:r>
              <w:rPr>
                <w:rFonts w:ascii="Times New Roman" w:hAnsi="Times New Roman"/>
                <w:sz w:val="18"/>
                <w:szCs w:val="18"/>
              </w:rPr>
              <w:t xml:space="preserve">L’indicatore si riferisce ad attività che saranno svolte nel 2019. Il livello di partenza è, pertanto, pari a </w:t>
            </w:r>
            <w:r>
              <w:rPr>
                <w:rFonts w:ascii="Times New Roman" w:hAnsi="Times New Roman"/>
                <w:sz w:val="18"/>
                <w:szCs w:val="18"/>
              </w:rPr>
              <w:lastRenderedPageBreak/>
              <w:t>0.</w:t>
            </w:r>
          </w:p>
        </w:tc>
      </w:tr>
      <w:tr w:rsidR="008854D3" w:rsidRPr="00E63330" w:rsidTr="009F0B9F">
        <w:trPr>
          <w:trHeight w:val="1088"/>
          <w:jc w:val="center"/>
        </w:trPr>
        <w:tc>
          <w:tcPr>
            <w:tcW w:w="0" w:type="auto"/>
            <w:vMerge/>
            <w:vAlign w:val="center"/>
          </w:tcPr>
          <w:p w:rsidR="000F4A75" w:rsidRPr="0096592E" w:rsidRDefault="000F4A75"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0F4A75" w:rsidRPr="00590BFC" w:rsidRDefault="000F4A75" w:rsidP="00E74997">
            <w:pPr>
              <w:tabs>
                <w:tab w:val="left" w:pos="287"/>
              </w:tabs>
              <w:spacing w:after="120"/>
              <w:jc w:val="both"/>
              <w:rPr>
                <w:rFonts w:ascii="Times New Roman" w:hAnsi="Times New Roman"/>
                <w:sz w:val="18"/>
                <w:szCs w:val="18"/>
              </w:rPr>
            </w:pPr>
            <w:r>
              <w:rPr>
                <w:rFonts w:ascii="Times New Roman" w:hAnsi="Times New Roman"/>
                <w:sz w:val="18"/>
                <w:szCs w:val="18"/>
              </w:rPr>
              <w:t xml:space="preserve">I.1.5.2 Numero di report inviati dalle Funzioni/Uffici al fine di consentire monitoraggi periodici con riferimento all’attuazione delle misure previste nel  Piano anticorruzione e trasparenza) </w:t>
            </w:r>
            <w:r w:rsidRPr="00E74997">
              <w:rPr>
                <w:rFonts w:ascii="Times New Roman" w:hAnsi="Times New Roman"/>
                <w:sz w:val="18"/>
                <w:szCs w:val="18"/>
              </w:rPr>
              <w:t>(</w:t>
            </w:r>
            <w:r w:rsidRPr="00E74997">
              <w:rPr>
                <w:rFonts w:ascii="Times New Roman" w:hAnsi="Times New Roman"/>
                <w:sz w:val="18"/>
                <w:szCs w:val="18"/>
                <w:u w:val="single"/>
              </w:rPr>
              <w:t xml:space="preserve">peso </w:t>
            </w:r>
            <w:r w:rsidR="008854D3" w:rsidRPr="00E74997">
              <w:rPr>
                <w:rFonts w:ascii="Times New Roman" w:hAnsi="Times New Roman"/>
                <w:sz w:val="18"/>
                <w:szCs w:val="18"/>
                <w:u w:val="single"/>
              </w:rPr>
              <w:t>2</w:t>
            </w:r>
            <w:r w:rsidRPr="00E74997">
              <w:rPr>
                <w:rFonts w:ascii="Times New Roman" w:hAnsi="Times New Roman"/>
                <w:sz w:val="18"/>
                <w:szCs w:val="18"/>
                <w:u w:val="single"/>
              </w:rPr>
              <w:t>0%</w:t>
            </w:r>
            <w:r w:rsidRPr="00E74997">
              <w:rPr>
                <w:rFonts w:ascii="Times New Roman" w:hAnsi="Times New Roman"/>
                <w:sz w:val="18"/>
                <w:szCs w:val="18"/>
              </w:rPr>
              <w:t>);</w:t>
            </w:r>
          </w:p>
        </w:tc>
        <w:tc>
          <w:tcPr>
            <w:tcW w:w="0" w:type="auto"/>
            <w:shd w:val="clear" w:color="auto" w:fill="auto"/>
            <w:vAlign w:val="center"/>
          </w:tcPr>
          <w:p w:rsidR="000F4A75" w:rsidRPr="00590BFC" w:rsidRDefault="000F4A75" w:rsidP="00AD0FFB">
            <w:pPr>
              <w:tabs>
                <w:tab w:val="left" w:pos="287"/>
              </w:tabs>
              <w:spacing w:after="120"/>
              <w:jc w:val="both"/>
              <w:rPr>
                <w:rFonts w:ascii="Times New Roman" w:hAnsi="Times New Roman"/>
                <w:color w:val="000000"/>
                <w:sz w:val="18"/>
                <w:szCs w:val="18"/>
              </w:rPr>
            </w:pPr>
            <w:r>
              <w:rPr>
                <w:rFonts w:ascii="Times New Roman" w:hAnsi="Times New Roman"/>
                <w:sz w:val="18"/>
                <w:szCs w:val="18"/>
              </w:rPr>
              <w:t xml:space="preserve">Riscontrabile dai report redatti dall’Ufficio </w:t>
            </w:r>
            <w:proofErr w:type="spellStart"/>
            <w:r>
              <w:rPr>
                <w:rFonts w:ascii="Times New Roman" w:hAnsi="Times New Roman"/>
                <w:sz w:val="18"/>
                <w:szCs w:val="18"/>
              </w:rPr>
              <w:t>Monit</w:t>
            </w:r>
            <w:proofErr w:type="spellEnd"/>
            <w:r>
              <w:rPr>
                <w:rFonts w:ascii="Times New Roman" w:hAnsi="Times New Roman"/>
                <w:sz w:val="18"/>
                <w:szCs w:val="18"/>
              </w:rPr>
              <w:t>. e Comunicazione</w:t>
            </w:r>
          </w:p>
        </w:tc>
        <w:tc>
          <w:tcPr>
            <w:tcW w:w="0" w:type="auto"/>
            <w:shd w:val="clear" w:color="auto" w:fill="auto"/>
            <w:vAlign w:val="center"/>
          </w:tcPr>
          <w:p w:rsidR="000F4A75" w:rsidRPr="00590BFC" w:rsidRDefault="000F4A75" w:rsidP="00F7128E">
            <w:pPr>
              <w:tabs>
                <w:tab w:val="left" w:pos="287"/>
              </w:tabs>
              <w:spacing w:after="120"/>
              <w:ind w:left="287"/>
              <w:jc w:val="both"/>
              <w:rPr>
                <w:rFonts w:ascii="Times New Roman" w:hAnsi="Times New Roman"/>
                <w:sz w:val="18"/>
                <w:szCs w:val="18"/>
              </w:rPr>
            </w:pPr>
            <w:r>
              <w:rPr>
                <w:rFonts w:ascii="Times New Roman" w:hAnsi="Times New Roman"/>
                <w:sz w:val="18"/>
                <w:szCs w:val="18"/>
              </w:rPr>
              <w:t>&gt;= 5</w:t>
            </w:r>
          </w:p>
        </w:tc>
        <w:tc>
          <w:tcPr>
            <w:tcW w:w="0" w:type="auto"/>
            <w:shd w:val="clear" w:color="auto" w:fill="auto"/>
            <w:vAlign w:val="center"/>
          </w:tcPr>
          <w:p w:rsidR="000F4A75" w:rsidRPr="00590BFC" w:rsidRDefault="000F4A75" w:rsidP="00F7128E">
            <w:pPr>
              <w:tabs>
                <w:tab w:val="left" w:pos="287"/>
              </w:tabs>
              <w:spacing w:after="120"/>
              <w:ind w:left="287"/>
              <w:jc w:val="both"/>
              <w:rPr>
                <w:rFonts w:ascii="Times New Roman" w:hAnsi="Times New Roman"/>
                <w:color w:val="000000"/>
                <w:sz w:val="18"/>
                <w:szCs w:val="18"/>
              </w:rPr>
            </w:pPr>
            <w:r>
              <w:rPr>
                <w:rFonts w:ascii="Times New Roman" w:hAnsi="Times New Roman"/>
                <w:sz w:val="18"/>
                <w:szCs w:val="18"/>
              </w:rPr>
              <w:t>&gt;= 10</w:t>
            </w:r>
          </w:p>
        </w:tc>
        <w:tc>
          <w:tcPr>
            <w:tcW w:w="0" w:type="auto"/>
          </w:tcPr>
          <w:p w:rsidR="000F4A75" w:rsidRDefault="000F4A75" w:rsidP="000F4A75">
            <w:pPr>
              <w:tabs>
                <w:tab w:val="left" w:pos="287"/>
              </w:tabs>
              <w:spacing w:after="120"/>
              <w:jc w:val="both"/>
              <w:rPr>
                <w:rFonts w:ascii="Times New Roman" w:hAnsi="Times New Roman"/>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trHeight w:val="900"/>
          <w:jc w:val="center"/>
        </w:trPr>
        <w:tc>
          <w:tcPr>
            <w:tcW w:w="0" w:type="auto"/>
            <w:vAlign w:val="center"/>
          </w:tcPr>
          <w:p w:rsidR="000F4A75" w:rsidRPr="003C3367" w:rsidRDefault="000F4A75" w:rsidP="00AD0FFB">
            <w:pPr>
              <w:tabs>
                <w:tab w:val="left" w:pos="287"/>
              </w:tabs>
              <w:spacing w:after="120"/>
              <w:jc w:val="center"/>
              <w:rPr>
                <w:rFonts w:ascii="Times New Roman" w:hAnsi="Times New Roman"/>
                <w:sz w:val="18"/>
                <w:szCs w:val="18"/>
              </w:rPr>
            </w:pPr>
            <w:r w:rsidRPr="003C3367">
              <w:rPr>
                <w:rFonts w:ascii="Times New Roman" w:hAnsi="Times New Roman"/>
                <w:sz w:val="18"/>
                <w:szCs w:val="18"/>
              </w:rPr>
              <w:t>1.6</w:t>
            </w:r>
          </w:p>
        </w:tc>
        <w:tc>
          <w:tcPr>
            <w:tcW w:w="0" w:type="auto"/>
            <w:shd w:val="clear" w:color="auto" w:fill="auto"/>
            <w:vAlign w:val="center"/>
          </w:tcPr>
          <w:p w:rsidR="000F4A75" w:rsidRPr="003C3367" w:rsidRDefault="000F4A75" w:rsidP="00AD0FFB">
            <w:pPr>
              <w:tabs>
                <w:tab w:val="left" w:pos="287"/>
              </w:tabs>
              <w:spacing w:after="120"/>
              <w:jc w:val="both"/>
              <w:rPr>
                <w:rFonts w:ascii="Times New Roman" w:hAnsi="Times New Roman"/>
                <w:b/>
                <w:sz w:val="18"/>
                <w:szCs w:val="18"/>
              </w:rPr>
            </w:pPr>
            <w:r w:rsidRPr="003C3367">
              <w:rPr>
                <w:rFonts w:ascii="Times New Roman" w:hAnsi="Times New Roman"/>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rsidR="000F4A75" w:rsidRPr="003C3367" w:rsidRDefault="000F4A75"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Riscontrabile dalle fonti indicate per ogni indicatore nel PPCT</w:t>
            </w:r>
          </w:p>
        </w:tc>
        <w:tc>
          <w:tcPr>
            <w:tcW w:w="0" w:type="auto"/>
            <w:shd w:val="clear" w:color="auto" w:fill="auto"/>
            <w:vAlign w:val="center"/>
          </w:tcPr>
          <w:p w:rsidR="000F4A75" w:rsidRPr="003C3367" w:rsidRDefault="000F4A75" w:rsidP="005D58E2">
            <w:pPr>
              <w:tabs>
                <w:tab w:val="left" w:pos="287"/>
              </w:tabs>
              <w:spacing w:after="120"/>
              <w:jc w:val="both"/>
              <w:rPr>
                <w:rFonts w:ascii="Times New Roman" w:hAnsi="Times New Roman"/>
                <w:sz w:val="18"/>
                <w:szCs w:val="18"/>
              </w:rPr>
            </w:pPr>
            <w:r w:rsidRPr="003C3367">
              <w:rPr>
                <w:rFonts w:ascii="Times New Roman" w:hAnsi="Times New Roman"/>
                <w:sz w:val="18"/>
                <w:szCs w:val="18"/>
              </w:rPr>
              <w:t>=100% di quanto indicato negli indicatori riportati nel PPCT rispetto alla data del 30 Giugno</w:t>
            </w:r>
          </w:p>
        </w:tc>
        <w:tc>
          <w:tcPr>
            <w:tcW w:w="0" w:type="auto"/>
            <w:shd w:val="clear" w:color="auto" w:fill="auto"/>
            <w:vAlign w:val="center"/>
          </w:tcPr>
          <w:p w:rsidR="000F4A75" w:rsidRPr="003C3367" w:rsidRDefault="000F4A75" w:rsidP="005D58E2">
            <w:pPr>
              <w:tabs>
                <w:tab w:val="left" w:pos="287"/>
              </w:tabs>
              <w:spacing w:after="120"/>
              <w:jc w:val="both"/>
              <w:rPr>
                <w:rFonts w:ascii="Times New Roman" w:hAnsi="Times New Roman"/>
                <w:sz w:val="18"/>
                <w:szCs w:val="18"/>
              </w:rPr>
            </w:pPr>
            <w:r w:rsidRPr="003C3367">
              <w:rPr>
                <w:rFonts w:ascii="Times New Roman" w:hAnsi="Times New Roman"/>
                <w:sz w:val="18"/>
                <w:szCs w:val="18"/>
              </w:rPr>
              <w:t>=100% di quanto indicato negli indicatori riportati nel PPCT rispetto alla data del 31 Dicembre</w:t>
            </w:r>
          </w:p>
        </w:tc>
        <w:tc>
          <w:tcPr>
            <w:tcW w:w="0" w:type="auto"/>
          </w:tcPr>
          <w:p w:rsidR="000F4A75" w:rsidRPr="00590BFC" w:rsidRDefault="000F4A75" w:rsidP="005D58E2">
            <w:pPr>
              <w:tabs>
                <w:tab w:val="left" w:pos="287"/>
              </w:tabs>
              <w:spacing w:after="120"/>
              <w:jc w:val="both"/>
              <w:rPr>
                <w:rFonts w:ascii="Times New Roman" w:hAnsi="Times New Roman"/>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trHeight w:val="1082"/>
          <w:jc w:val="center"/>
        </w:trPr>
        <w:tc>
          <w:tcPr>
            <w:tcW w:w="0" w:type="auto"/>
            <w:vMerge w:val="restart"/>
            <w:vAlign w:val="center"/>
          </w:tcPr>
          <w:p w:rsidR="000F4A75" w:rsidRPr="003C3367" w:rsidRDefault="00CB3C4F" w:rsidP="00AD0FFB">
            <w:pPr>
              <w:tabs>
                <w:tab w:val="left" w:pos="287"/>
              </w:tabs>
              <w:spacing w:after="120"/>
              <w:jc w:val="center"/>
              <w:rPr>
                <w:rFonts w:ascii="Times New Roman" w:hAnsi="Times New Roman"/>
                <w:sz w:val="18"/>
                <w:szCs w:val="18"/>
              </w:rPr>
            </w:pPr>
            <w:r>
              <w:rPr>
                <w:rFonts w:ascii="Times New Roman" w:hAnsi="Times New Roman"/>
                <w:sz w:val="18"/>
                <w:szCs w:val="18"/>
              </w:rPr>
              <w:t>2.1</w:t>
            </w:r>
          </w:p>
        </w:tc>
        <w:tc>
          <w:tcPr>
            <w:tcW w:w="0" w:type="auto"/>
            <w:shd w:val="clear" w:color="auto" w:fill="auto"/>
            <w:vAlign w:val="center"/>
          </w:tcPr>
          <w:p w:rsidR="000F4A75" w:rsidRPr="005D58E2" w:rsidRDefault="000F4A75"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I.2.1.1 </w:t>
            </w:r>
            <w:r w:rsidRPr="005D58E2">
              <w:rPr>
                <w:rFonts w:ascii="Times New Roman" w:hAnsi="Times New Roman"/>
                <w:sz w:val="18"/>
                <w:szCs w:val="18"/>
              </w:rPr>
              <w:t>Numero di Circolari adottati dalle Funzioni (&gt;=7)</w:t>
            </w:r>
          </w:p>
          <w:p w:rsidR="000F4A75" w:rsidRPr="003C3367" w:rsidRDefault="000F4A75" w:rsidP="00AD0FFB">
            <w:pPr>
              <w:tabs>
                <w:tab w:val="left" w:pos="287"/>
              </w:tabs>
              <w:spacing w:after="120"/>
              <w:jc w:val="both"/>
              <w:rPr>
                <w:rFonts w:ascii="Times New Roman" w:hAnsi="Times New Roman"/>
                <w:sz w:val="18"/>
                <w:szCs w:val="18"/>
              </w:rPr>
            </w:pPr>
            <w:r w:rsidRPr="003C3367">
              <w:rPr>
                <w:rFonts w:ascii="Times New Roman" w:hAnsi="Times New Roman"/>
                <w:i/>
                <w:sz w:val="18"/>
                <w:szCs w:val="18"/>
              </w:rPr>
              <w:t>(Riscontrabili dal Protocollo dell’Ente</w:t>
            </w:r>
            <w:r w:rsidRPr="003C3367">
              <w:rPr>
                <w:rFonts w:ascii="Times New Roman" w:hAnsi="Times New Roman"/>
                <w:sz w:val="18"/>
                <w:szCs w:val="18"/>
              </w:rPr>
              <w:t>) (</w:t>
            </w:r>
            <w:r w:rsidRPr="003C3367">
              <w:rPr>
                <w:rFonts w:ascii="Times New Roman" w:hAnsi="Times New Roman"/>
                <w:sz w:val="18"/>
                <w:szCs w:val="18"/>
                <w:u w:val="single"/>
              </w:rPr>
              <w:t>Peso 50%</w:t>
            </w:r>
            <w:r w:rsidRPr="003C3367">
              <w:rPr>
                <w:rFonts w:ascii="Times New Roman" w:hAnsi="Times New Roman"/>
                <w:sz w:val="18"/>
                <w:szCs w:val="18"/>
              </w:rPr>
              <w:t>)</w:t>
            </w:r>
          </w:p>
        </w:tc>
        <w:tc>
          <w:tcPr>
            <w:tcW w:w="0" w:type="auto"/>
            <w:shd w:val="clear" w:color="auto" w:fill="auto"/>
            <w:vAlign w:val="center"/>
          </w:tcPr>
          <w:p w:rsidR="000F4A75" w:rsidRPr="003C3367" w:rsidRDefault="000F4A75" w:rsidP="00AD0FFB">
            <w:pPr>
              <w:tabs>
                <w:tab w:val="left" w:pos="287"/>
              </w:tabs>
              <w:spacing w:after="120"/>
              <w:jc w:val="both"/>
              <w:rPr>
                <w:rFonts w:ascii="Times New Roman" w:hAnsi="Times New Roman"/>
                <w:b/>
                <w:sz w:val="18"/>
                <w:szCs w:val="18"/>
              </w:rPr>
            </w:pPr>
            <w:r w:rsidRPr="003C3367">
              <w:rPr>
                <w:rFonts w:ascii="Times New Roman" w:hAnsi="Times New Roman"/>
                <w:i/>
                <w:sz w:val="18"/>
                <w:szCs w:val="18"/>
              </w:rPr>
              <w:t>Protocollo dell’Ente</w:t>
            </w:r>
          </w:p>
        </w:tc>
        <w:tc>
          <w:tcPr>
            <w:tcW w:w="0" w:type="auto"/>
            <w:shd w:val="clear" w:color="auto" w:fill="auto"/>
            <w:vAlign w:val="center"/>
          </w:tcPr>
          <w:p w:rsidR="000F4A75" w:rsidRPr="003C3367" w:rsidRDefault="000F4A75" w:rsidP="00AD0FFB">
            <w:pPr>
              <w:tabs>
                <w:tab w:val="left" w:pos="287"/>
              </w:tabs>
              <w:spacing w:after="120"/>
              <w:ind w:left="287"/>
              <w:jc w:val="both"/>
              <w:rPr>
                <w:rFonts w:ascii="Times New Roman" w:hAnsi="Times New Roman"/>
                <w:b/>
                <w:sz w:val="18"/>
                <w:szCs w:val="18"/>
              </w:rPr>
            </w:pPr>
            <w:r w:rsidRPr="003C3367">
              <w:rPr>
                <w:rFonts w:ascii="Times New Roman" w:hAnsi="Times New Roman"/>
                <w:b/>
                <w:sz w:val="18"/>
                <w:szCs w:val="18"/>
              </w:rPr>
              <w:t>&gt;=</w:t>
            </w:r>
            <w:r w:rsidR="00CB3C4F">
              <w:rPr>
                <w:rFonts w:ascii="Times New Roman" w:hAnsi="Times New Roman"/>
                <w:b/>
                <w:sz w:val="18"/>
                <w:szCs w:val="18"/>
              </w:rPr>
              <w:t>4</w:t>
            </w:r>
          </w:p>
        </w:tc>
        <w:tc>
          <w:tcPr>
            <w:tcW w:w="0" w:type="auto"/>
            <w:shd w:val="clear" w:color="auto" w:fill="auto"/>
            <w:vAlign w:val="center"/>
          </w:tcPr>
          <w:p w:rsidR="000F4A75" w:rsidRPr="003C3367" w:rsidRDefault="000F4A75" w:rsidP="00E74997">
            <w:pPr>
              <w:tabs>
                <w:tab w:val="left" w:pos="-89"/>
              </w:tabs>
              <w:spacing w:after="120"/>
              <w:ind w:left="287" w:hanging="376"/>
              <w:jc w:val="center"/>
              <w:rPr>
                <w:rFonts w:ascii="Times New Roman" w:hAnsi="Times New Roman"/>
                <w:b/>
                <w:sz w:val="18"/>
                <w:szCs w:val="18"/>
              </w:rPr>
            </w:pPr>
            <w:r w:rsidRPr="003C3367">
              <w:rPr>
                <w:rFonts w:ascii="Times New Roman" w:hAnsi="Times New Roman"/>
                <w:b/>
                <w:sz w:val="18"/>
                <w:szCs w:val="18"/>
              </w:rPr>
              <w:t>&gt;=</w:t>
            </w:r>
            <w:r w:rsidR="00CB3C4F">
              <w:rPr>
                <w:rFonts w:ascii="Times New Roman" w:hAnsi="Times New Roman"/>
                <w:b/>
                <w:sz w:val="18"/>
                <w:szCs w:val="18"/>
              </w:rPr>
              <w:t>7</w:t>
            </w:r>
          </w:p>
        </w:tc>
        <w:tc>
          <w:tcPr>
            <w:tcW w:w="0" w:type="auto"/>
          </w:tcPr>
          <w:p w:rsidR="000F4A75" w:rsidRPr="00590BFC" w:rsidRDefault="000F4A75" w:rsidP="000F4A75">
            <w:pPr>
              <w:tabs>
                <w:tab w:val="left" w:pos="287"/>
              </w:tabs>
              <w:spacing w:after="120"/>
              <w:jc w:val="both"/>
              <w:rPr>
                <w:rFonts w:ascii="Times New Roman" w:hAnsi="Times New Roman"/>
                <w:b/>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trHeight w:val="704"/>
          <w:jc w:val="center"/>
        </w:trPr>
        <w:tc>
          <w:tcPr>
            <w:tcW w:w="0" w:type="auto"/>
            <w:vMerge/>
            <w:vAlign w:val="center"/>
          </w:tcPr>
          <w:p w:rsidR="000F4A75" w:rsidRPr="003C3367" w:rsidRDefault="000F4A75"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rsidR="000F4A75" w:rsidRPr="003C3367" w:rsidRDefault="000F4A75" w:rsidP="005D58E2">
            <w:pPr>
              <w:tabs>
                <w:tab w:val="left" w:pos="287"/>
              </w:tabs>
              <w:spacing w:after="120"/>
              <w:rPr>
                <w:rFonts w:ascii="Times New Roman" w:hAnsi="Times New Roman"/>
                <w:sz w:val="18"/>
                <w:szCs w:val="18"/>
              </w:rPr>
            </w:pPr>
            <w:r w:rsidRPr="003C3367">
              <w:rPr>
                <w:rFonts w:ascii="Times New Roman" w:hAnsi="Times New Roman"/>
                <w:sz w:val="18"/>
                <w:szCs w:val="18"/>
              </w:rPr>
              <w:t>I.2.1.2 Numero di Manuali operativi adottati dalle Funzioni (&gt;=10) (</w:t>
            </w:r>
            <w:r w:rsidRPr="003C3367">
              <w:rPr>
                <w:rFonts w:ascii="Times New Roman" w:hAnsi="Times New Roman"/>
                <w:i/>
                <w:sz w:val="18"/>
                <w:szCs w:val="18"/>
              </w:rPr>
              <w:t>Riscontrabili dal Registro dei Decreti</w:t>
            </w:r>
            <w:r w:rsidRPr="003C3367">
              <w:rPr>
                <w:rFonts w:ascii="Times New Roman" w:hAnsi="Times New Roman"/>
                <w:sz w:val="18"/>
                <w:szCs w:val="18"/>
              </w:rPr>
              <w:t>) (</w:t>
            </w:r>
            <w:r w:rsidRPr="003C3367">
              <w:rPr>
                <w:rFonts w:ascii="Times New Roman" w:hAnsi="Times New Roman"/>
                <w:sz w:val="18"/>
                <w:szCs w:val="18"/>
                <w:u w:val="single"/>
              </w:rPr>
              <w:t>Peso 50%</w:t>
            </w:r>
            <w:r w:rsidRPr="003C3367">
              <w:rPr>
                <w:rFonts w:ascii="Times New Roman" w:hAnsi="Times New Roman"/>
                <w:sz w:val="18"/>
                <w:szCs w:val="18"/>
              </w:rPr>
              <w:t>)</w:t>
            </w:r>
          </w:p>
        </w:tc>
        <w:tc>
          <w:tcPr>
            <w:tcW w:w="0" w:type="auto"/>
            <w:shd w:val="clear" w:color="auto" w:fill="auto"/>
            <w:vAlign w:val="center"/>
          </w:tcPr>
          <w:p w:rsidR="000F4A75" w:rsidRPr="003C3367" w:rsidRDefault="000F4A75" w:rsidP="009F0B9F">
            <w:pPr>
              <w:tabs>
                <w:tab w:val="left" w:pos="287"/>
              </w:tabs>
              <w:spacing w:after="120"/>
              <w:jc w:val="center"/>
              <w:rPr>
                <w:rFonts w:ascii="Times New Roman" w:hAnsi="Times New Roman"/>
                <w:b/>
                <w:sz w:val="18"/>
                <w:szCs w:val="18"/>
              </w:rPr>
            </w:pPr>
            <w:r w:rsidRPr="003C3367">
              <w:rPr>
                <w:rFonts w:ascii="Times New Roman" w:hAnsi="Times New Roman"/>
                <w:i/>
                <w:sz w:val="18"/>
                <w:szCs w:val="18"/>
              </w:rPr>
              <w:t>Riscontrabili dal Registro dei Decreti</w:t>
            </w:r>
          </w:p>
        </w:tc>
        <w:tc>
          <w:tcPr>
            <w:tcW w:w="0" w:type="auto"/>
            <w:shd w:val="clear" w:color="auto" w:fill="auto"/>
            <w:vAlign w:val="center"/>
          </w:tcPr>
          <w:p w:rsidR="000F4A75" w:rsidRPr="003C3367" w:rsidRDefault="000F4A75" w:rsidP="009F0B9F">
            <w:pPr>
              <w:tabs>
                <w:tab w:val="left" w:pos="287"/>
              </w:tabs>
              <w:spacing w:after="120"/>
              <w:jc w:val="center"/>
              <w:rPr>
                <w:rFonts w:ascii="Times New Roman" w:hAnsi="Times New Roman"/>
                <w:b/>
                <w:sz w:val="18"/>
                <w:szCs w:val="18"/>
              </w:rPr>
            </w:pPr>
            <w:r w:rsidRPr="003C3367">
              <w:rPr>
                <w:rFonts w:ascii="Times New Roman" w:hAnsi="Times New Roman"/>
                <w:b/>
                <w:sz w:val="18"/>
                <w:szCs w:val="18"/>
              </w:rPr>
              <w:t>&gt;=5</w:t>
            </w:r>
          </w:p>
        </w:tc>
        <w:tc>
          <w:tcPr>
            <w:tcW w:w="0" w:type="auto"/>
            <w:shd w:val="clear" w:color="auto" w:fill="auto"/>
            <w:vAlign w:val="center"/>
          </w:tcPr>
          <w:p w:rsidR="000F4A75" w:rsidRPr="003C3367" w:rsidRDefault="000F4A75" w:rsidP="00E74997">
            <w:pPr>
              <w:tabs>
                <w:tab w:val="left" w:pos="-89"/>
              </w:tabs>
              <w:spacing w:after="120"/>
              <w:ind w:left="-89"/>
              <w:jc w:val="center"/>
              <w:rPr>
                <w:rFonts w:ascii="Times New Roman" w:hAnsi="Times New Roman"/>
                <w:b/>
                <w:sz w:val="18"/>
                <w:szCs w:val="18"/>
              </w:rPr>
            </w:pPr>
            <w:r w:rsidRPr="003C3367">
              <w:rPr>
                <w:rFonts w:ascii="Times New Roman" w:hAnsi="Times New Roman"/>
                <w:b/>
                <w:sz w:val="18"/>
                <w:szCs w:val="18"/>
              </w:rPr>
              <w:t>&gt;=10</w:t>
            </w:r>
          </w:p>
        </w:tc>
        <w:tc>
          <w:tcPr>
            <w:tcW w:w="0" w:type="auto"/>
          </w:tcPr>
          <w:p w:rsidR="000F4A75" w:rsidRPr="00590BFC" w:rsidRDefault="000F4A75" w:rsidP="009F0B9F">
            <w:pPr>
              <w:tabs>
                <w:tab w:val="left" w:pos="287"/>
              </w:tabs>
              <w:spacing w:after="120"/>
              <w:jc w:val="center"/>
              <w:rPr>
                <w:rFonts w:ascii="Times New Roman" w:hAnsi="Times New Roman"/>
                <w:b/>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jc w:val="center"/>
        </w:trPr>
        <w:tc>
          <w:tcPr>
            <w:tcW w:w="0" w:type="auto"/>
            <w:vAlign w:val="center"/>
          </w:tcPr>
          <w:p w:rsidR="000F4A75" w:rsidRPr="003C3367" w:rsidRDefault="000F4A75" w:rsidP="00AD0FFB">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3.1</w:t>
            </w:r>
          </w:p>
        </w:tc>
        <w:tc>
          <w:tcPr>
            <w:tcW w:w="0" w:type="auto"/>
            <w:shd w:val="clear" w:color="auto" w:fill="auto"/>
            <w:vAlign w:val="center"/>
          </w:tcPr>
          <w:p w:rsidR="000F4A75" w:rsidRPr="00E63330" w:rsidRDefault="000F4A75" w:rsidP="00AD0FFB">
            <w:pPr>
              <w:tabs>
                <w:tab w:val="left" w:pos="287"/>
              </w:tabs>
              <w:spacing w:after="120"/>
              <w:jc w:val="both"/>
              <w:rPr>
                <w:rFonts w:ascii="Times New Roman" w:hAnsi="Times New Roman"/>
                <w:sz w:val="18"/>
                <w:szCs w:val="18"/>
              </w:rPr>
            </w:pPr>
            <w:r w:rsidRPr="003C3367">
              <w:rPr>
                <w:rFonts w:ascii="Times New Roman" w:hAnsi="Times New Roman"/>
                <w:sz w:val="18"/>
                <w:szCs w:val="18"/>
              </w:rPr>
              <w:t>I.3.1.1 Messa in esercizio del nuovo software per la protocollazione informatica e</w:t>
            </w:r>
            <w:r w:rsidR="00D90F50">
              <w:rPr>
                <w:rFonts w:ascii="Times New Roman" w:hAnsi="Times New Roman"/>
                <w:sz w:val="18"/>
                <w:szCs w:val="18"/>
              </w:rPr>
              <w:t>/o</w:t>
            </w:r>
            <w:r w:rsidRPr="003C3367">
              <w:rPr>
                <w:rFonts w:ascii="Times New Roman" w:hAnsi="Times New Roman"/>
                <w:sz w:val="18"/>
                <w:szCs w:val="18"/>
              </w:rPr>
              <w:t xml:space="preserve"> la gestione documentale</w:t>
            </w:r>
          </w:p>
          <w:p w:rsidR="000F4A75" w:rsidRPr="003C3367" w:rsidRDefault="000F4A75" w:rsidP="005D58E2">
            <w:pPr>
              <w:tabs>
                <w:tab w:val="left" w:pos="287"/>
              </w:tabs>
              <w:spacing w:after="120"/>
              <w:jc w:val="both"/>
              <w:rPr>
                <w:rFonts w:ascii="Times New Roman" w:hAnsi="Times New Roman"/>
                <w:sz w:val="18"/>
                <w:szCs w:val="18"/>
              </w:rPr>
            </w:pPr>
            <w:r w:rsidRPr="003C3367">
              <w:rPr>
                <w:rFonts w:ascii="Times New Roman" w:hAnsi="Times New Roman"/>
                <w:sz w:val="18"/>
                <w:szCs w:val="18"/>
              </w:rPr>
              <w:t>(</w:t>
            </w:r>
            <w:r w:rsidRPr="003C3367">
              <w:rPr>
                <w:rFonts w:ascii="Times New Roman" w:hAnsi="Times New Roman"/>
                <w:i/>
                <w:sz w:val="18"/>
                <w:szCs w:val="18"/>
              </w:rPr>
              <w:t>Riscontabile dal sistema di protocollo dell’ente</w:t>
            </w:r>
            <w:r w:rsidRPr="003C3367">
              <w:rPr>
                <w:rFonts w:ascii="Times New Roman" w:hAnsi="Times New Roman"/>
                <w:sz w:val="18"/>
                <w:szCs w:val="18"/>
              </w:rPr>
              <w:t>) (</w:t>
            </w:r>
            <w:r w:rsidRPr="003C3367">
              <w:rPr>
                <w:rFonts w:ascii="Times New Roman" w:hAnsi="Times New Roman"/>
                <w:sz w:val="18"/>
                <w:szCs w:val="18"/>
                <w:u w:val="single"/>
              </w:rPr>
              <w:t>Peso: 100%</w:t>
            </w:r>
            <w:r w:rsidRPr="003C3367">
              <w:rPr>
                <w:rFonts w:ascii="Times New Roman" w:hAnsi="Times New Roman"/>
                <w:sz w:val="18"/>
                <w:szCs w:val="18"/>
              </w:rPr>
              <w:t>)</w:t>
            </w:r>
          </w:p>
        </w:tc>
        <w:tc>
          <w:tcPr>
            <w:tcW w:w="0" w:type="auto"/>
            <w:shd w:val="clear" w:color="auto" w:fill="auto"/>
            <w:vAlign w:val="center"/>
          </w:tcPr>
          <w:p w:rsidR="000F4A75" w:rsidRPr="003C3367" w:rsidRDefault="000F4A75" w:rsidP="003C3367">
            <w:pPr>
              <w:tabs>
                <w:tab w:val="left" w:pos="287"/>
              </w:tabs>
              <w:spacing w:after="120"/>
              <w:jc w:val="both"/>
              <w:rPr>
                <w:rFonts w:ascii="Times New Roman" w:hAnsi="Times New Roman"/>
                <w:sz w:val="18"/>
                <w:szCs w:val="18"/>
              </w:rPr>
            </w:pPr>
            <w:r w:rsidRPr="003C3367">
              <w:rPr>
                <w:rFonts w:ascii="Times New Roman" w:hAnsi="Times New Roman"/>
                <w:i/>
                <w:sz w:val="18"/>
                <w:szCs w:val="18"/>
              </w:rPr>
              <w:t>Riscontabile dal sistema di protocollo dell’ente</w:t>
            </w:r>
          </w:p>
        </w:tc>
        <w:tc>
          <w:tcPr>
            <w:tcW w:w="0" w:type="auto"/>
            <w:shd w:val="clear" w:color="auto" w:fill="auto"/>
            <w:vAlign w:val="center"/>
          </w:tcPr>
          <w:p w:rsidR="000F4A75" w:rsidRPr="003C3367" w:rsidRDefault="000F4A75" w:rsidP="00AD0FFB">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Avvio attività di migrazione</w:t>
            </w:r>
          </w:p>
        </w:tc>
        <w:tc>
          <w:tcPr>
            <w:tcW w:w="0" w:type="auto"/>
            <w:shd w:val="clear" w:color="auto" w:fill="auto"/>
            <w:vAlign w:val="center"/>
          </w:tcPr>
          <w:p w:rsidR="000F4A75" w:rsidRPr="003C3367" w:rsidRDefault="000F4A75" w:rsidP="009F0B9F">
            <w:pPr>
              <w:autoSpaceDE w:val="0"/>
              <w:autoSpaceDN w:val="0"/>
              <w:adjustRightInd w:val="0"/>
              <w:spacing w:after="0" w:line="240" w:lineRule="auto"/>
              <w:jc w:val="both"/>
              <w:rPr>
                <w:rFonts w:ascii="Times New Roman" w:hAnsi="Times New Roman"/>
                <w:sz w:val="18"/>
                <w:szCs w:val="18"/>
              </w:rPr>
            </w:pPr>
            <w:r w:rsidRPr="003C3367">
              <w:rPr>
                <w:rFonts w:ascii="Times New Roman" w:hAnsi="Times New Roman"/>
                <w:sz w:val="18"/>
                <w:szCs w:val="18"/>
              </w:rPr>
              <w:t>Collaudo positivo e messa in esercizio del sistema</w:t>
            </w:r>
          </w:p>
        </w:tc>
        <w:tc>
          <w:tcPr>
            <w:tcW w:w="0" w:type="auto"/>
          </w:tcPr>
          <w:p w:rsidR="000F4A75" w:rsidRPr="00590BFC" w:rsidRDefault="000F4A75" w:rsidP="009F0B9F">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L’indicatore si riferisce ad attività che saranno svolte nel 2019. Il livello di partenza è, pertanto, pari a 0.</w:t>
            </w:r>
          </w:p>
        </w:tc>
      </w:tr>
      <w:tr w:rsidR="008854D3" w:rsidRPr="00E63330" w:rsidTr="009F0B9F">
        <w:trPr>
          <w:jc w:val="center"/>
        </w:trPr>
        <w:tc>
          <w:tcPr>
            <w:tcW w:w="0" w:type="auto"/>
            <w:vAlign w:val="center"/>
          </w:tcPr>
          <w:p w:rsidR="000F4A75" w:rsidRPr="003C3367" w:rsidRDefault="000F4A75" w:rsidP="00AD0FFB">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3.2</w:t>
            </w:r>
          </w:p>
        </w:tc>
        <w:tc>
          <w:tcPr>
            <w:tcW w:w="0" w:type="auto"/>
            <w:shd w:val="clear" w:color="auto" w:fill="auto"/>
            <w:vAlign w:val="center"/>
          </w:tcPr>
          <w:p w:rsidR="000F4A75" w:rsidRPr="003C3367" w:rsidRDefault="000F4A75" w:rsidP="008854D3">
            <w:pPr>
              <w:autoSpaceDE w:val="0"/>
              <w:autoSpaceDN w:val="0"/>
              <w:adjustRightInd w:val="0"/>
              <w:spacing w:after="0"/>
              <w:jc w:val="both"/>
              <w:rPr>
                <w:rFonts w:ascii="Times New Roman" w:hAnsi="Times New Roman"/>
                <w:b/>
                <w:sz w:val="18"/>
                <w:szCs w:val="18"/>
              </w:rPr>
            </w:pPr>
            <w:r w:rsidRPr="003C3367">
              <w:rPr>
                <w:rFonts w:ascii="Times New Roman" w:hAnsi="Times New Roman"/>
                <w:sz w:val="18"/>
                <w:szCs w:val="18"/>
              </w:rPr>
              <w:t>I.1.3.1 Numero di domini della ISO 27002 per i quali i Sistema Informativo dell’ARCEA è ritenuto sufficientemente adeguato</w:t>
            </w:r>
            <w:r w:rsidR="008854D3">
              <w:rPr>
                <w:rFonts w:ascii="Times New Roman" w:hAnsi="Times New Roman"/>
                <w:sz w:val="18"/>
                <w:szCs w:val="18"/>
              </w:rPr>
              <w:t xml:space="preserve"> </w:t>
            </w:r>
            <w:r w:rsidRPr="003C3367">
              <w:rPr>
                <w:rFonts w:ascii="Times New Roman" w:hAnsi="Times New Roman"/>
                <w:sz w:val="18"/>
                <w:szCs w:val="18"/>
              </w:rPr>
              <w:t>(</w:t>
            </w:r>
            <w:r w:rsidR="008854D3" w:rsidRPr="00E74997">
              <w:rPr>
                <w:rFonts w:ascii="Times New Roman" w:hAnsi="Times New Roman"/>
                <w:sz w:val="18"/>
                <w:szCs w:val="18"/>
                <w:u w:val="single"/>
              </w:rPr>
              <w:t>P</w:t>
            </w:r>
            <w:r w:rsidRPr="003C3367">
              <w:rPr>
                <w:rFonts w:ascii="Times New Roman" w:hAnsi="Times New Roman"/>
                <w:sz w:val="18"/>
                <w:szCs w:val="18"/>
                <w:u w:val="single"/>
              </w:rPr>
              <w:t>eso 100%</w:t>
            </w:r>
            <w:r w:rsidRPr="003C3367">
              <w:rPr>
                <w:rFonts w:ascii="Times New Roman" w:hAnsi="Times New Roman"/>
                <w:sz w:val="18"/>
                <w:szCs w:val="18"/>
              </w:rPr>
              <w:t>)</w:t>
            </w:r>
          </w:p>
        </w:tc>
        <w:tc>
          <w:tcPr>
            <w:tcW w:w="0" w:type="auto"/>
            <w:shd w:val="clear" w:color="auto" w:fill="auto"/>
            <w:vAlign w:val="center"/>
          </w:tcPr>
          <w:p w:rsidR="000F4A75" w:rsidRPr="003C3367" w:rsidRDefault="000F4A75" w:rsidP="00AD0FFB">
            <w:pPr>
              <w:autoSpaceDE w:val="0"/>
              <w:autoSpaceDN w:val="0"/>
              <w:adjustRightInd w:val="0"/>
              <w:spacing w:after="0"/>
              <w:jc w:val="both"/>
              <w:rPr>
                <w:rFonts w:ascii="Times New Roman" w:hAnsi="Times New Roman"/>
                <w:b/>
                <w:i/>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0F4A75" w:rsidRPr="003C3367" w:rsidRDefault="000F4A75" w:rsidP="00AD0FFB">
            <w:pPr>
              <w:autoSpaceDE w:val="0"/>
              <w:autoSpaceDN w:val="0"/>
              <w:adjustRightInd w:val="0"/>
              <w:spacing w:after="0"/>
              <w:jc w:val="both"/>
              <w:rPr>
                <w:rFonts w:ascii="Times New Roman" w:hAnsi="Times New Roman"/>
                <w:b/>
                <w:sz w:val="18"/>
                <w:szCs w:val="18"/>
              </w:rPr>
            </w:pPr>
            <w:r w:rsidRPr="003C3367">
              <w:rPr>
                <w:rFonts w:ascii="Times New Roman" w:hAnsi="Times New Roman"/>
                <w:sz w:val="18"/>
                <w:szCs w:val="18"/>
              </w:rPr>
              <w:t>Non riscontrabile perché la reazione dell’Ente Certificatore è emessa a fine anno</w:t>
            </w:r>
          </w:p>
        </w:tc>
        <w:tc>
          <w:tcPr>
            <w:tcW w:w="0" w:type="auto"/>
            <w:shd w:val="clear" w:color="auto" w:fill="auto"/>
            <w:vAlign w:val="center"/>
          </w:tcPr>
          <w:p w:rsidR="000F4A75" w:rsidRPr="003C3367" w:rsidRDefault="000F4A75" w:rsidP="00E74997">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&gt;=3</w:t>
            </w:r>
          </w:p>
        </w:tc>
        <w:tc>
          <w:tcPr>
            <w:tcW w:w="0" w:type="auto"/>
          </w:tcPr>
          <w:p w:rsidR="000F4A75" w:rsidRPr="00590BFC" w:rsidRDefault="000F4A75" w:rsidP="00AD0FFB">
            <w:pPr>
              <w:autoSpaceDE w:val="0"/>
              <w:autoSpaceDN w:val="0"/>
              <w:adjustRightInd w:val="0"/>
              <w:spacing w:after="0"/>
              <w:jc w:val="both"/>
              <w:rPr>
                <w:rFonts w:ascii="Times New Roman" w:hAnsi="Times New Roman"/>
                <w:b/>
                <w:sz w:val="18"/>
                <w:szCs w:val="18"/>
              </w:rPr>
            </w:pPr>
            <w:r>
              <w:rPr>
                <w:rFonts w:ascii="Times New Roman" w:hAnsi="Times New Roman"/>
                <w:sz w:val="18"/>
                <w:szCs w:val="18"/>
              </w:rPr>
              <w:t>L’indicatore si riferisce ad attività che saranno svolte nel 2019. Il livello di partenza è, pertanto, pari a 0.</w:t>
            </w:r>
          </w:p>
        </w:tc>
      </w:tr>
    </w:tbl>
    <w:p w:rsidR="006A7D24" w:rsidRPr="00E63330" w:rsidRDefault="006A7D24" w:rsidP="00AB3CB1">
      <w:pPr>
        <w:autoSpaceDE w:val="0"/>
        <w:autoSpaceDN w:val="0"/>
        <w:adjustRightInd w:val="0"/>
        <w:spacing w:after="0"/>
        <w:jc w:val="both"/>
        <w:rPr>
          <w:rFonts w:ascii="Times New Roman" w:hAnsi="Times New Roman"/>
          <w:sz w:val="24"/>
          <w:szCs w:val="24"/>
        </w:rPr>
      </w:pPr>
    </w:p>
    <w:p w:rsidR="008A71A7" w:rsidRPr="00E63330" w:rsidRDefault="008A71A7" w:rsidP="00AB3CB1">
      <w:pPr>
        <w:autoSpaceDE w:val="0"/>
        <w:autoSpaceDN w:val="0"/>
        <w:adjustRightInd w:val="0"/>
        <w:spacing w:after="0"/>
        <w:jc w:val="both"/>
        <w:rPr>
          <w:rFonts w:ascii="Times New Roman" w:hAnsi="Times New Roman"/>
          <w:sz w:val="24"/>
          <w:szCs w:val="24"/>
        </w:rPr>
      </w:pPr>
    </w:p>
    <w:p w:rsidR="00E71C4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N.B.: Gli indicatori in grassetto sono stati oggetto di rivisitazione all’interno del presente Piano in base alle attività di monitoraggio effettuate nel 2017 oppure sono stati aggiunti per la prima volta al fine di allineare il Piano alle reali esigenze strategiche ed operative dell’Agenzia. </w:t>
      </w:r>
    </w:p>
    <w:p w:rsidR="00E71C47" w:rsidRPr="00E63330" w:rsidRDefault="00E71C47" w:rsidP="00AB3CB1">
      <w:pPr>
        <w:autoSpaceDE w:val="0"/>
        <w:autoSpaceDN w:val="0"/>
        <w:adjustRightInd w:val="0"/>
        <w:spacing w:after="0"/>
        <w:jc w:val="both"/>
        <w:rPr>
          <w:rFonts w:ascii="Times New Roman" w:hAnsi="Times New Roman"/>
          <w:sz w:val="24"/>
          <w:szCs w:val="24"/>
        </w:rPr>
      </w:pPr>
    </w:p>
    <w:p w:rsidR="00087E82" w:rsidRPr="00E63330" w:rsidRDefault="0096592E" w:rsidP="00AB3CB1">
      <w:pPr>
        <w:autoSpaceDE w:val="0"/>
        <w:autoSpaceDN w:val="0"/>
        <w:adjustRightInd w:val="0"/>
        <w:spacing w:after="0"/>
        <w:jc w:val="both"/>
        <w:rPr>
          <w:rFonts w:ascii="Times New Roman" w:hAnsi="Times New Roman"/>
          <w:sz w:val="24"/>
          <w:szCs w:val="24"/>
        </w:rPr>
      </w:pPr>
      <w:bookmarkStart w:id="115" w:name="OLE_LINK98"/>
      <w:bookmarkStart w:id="116" w:name="OLE_LINK99"/>
      <w:r w:rsidRPr="003C3367">
        <w:rPr>
          <w:rFonts w:ascii="Times New Roman" w:hAnsi="Times New Roman"/>
          <w:b/>
          <w:sz w:val="24"/>
          <w:szCs w:val="24"/>
        </w:rPr>
        <w:t xml:space="preserve">Quadri sinottici riportanti la connessione del valore degli indicatori nel corrente anno con i risultati dell’anno precedente </w:t>
      </w:r>
      <w:r w:rsidR="00E12332">
        <w:rPr>
          <w:rFonts w:ascii="Times New Roman" w:hAnsi="Times New Roman"/>
          <w:b/>
          <w:sz w:val="24"/>
          <w:szCs w:val="24"/>
        </w:rPr>
        <w:t>(per gli indicatori confermati) e con le ultime misurazioni (per tutti gli indicatori del Piano)</w:t>
      </w:r>
      <w:r w:rsidR="00215217">
        <w:rPr>
          <w:rFonts w:ascii="Times New Roman" w:hAnsi="Times New Roman"/>
          <w:b/>
          <w:sz w:val="24"/>
          <w:szCs w:val="24"/>
        </w:rPr>
        <w:t xml:space="preserve">. </w:t>
      </w:r>
    </w:p>
    <w:bookmarkEnd w:id="115"/>
    <w:bookmarkEnd w:id="116"/>
    <w:p w:rsidR="00087E82" w:rsidRPr="00E63330" w:rsidRDefault="00087E82" w:rsidP="00AB3CB1">
      <w:pPr>
        <w:autoSpaceDE w:val="0"/>
        <w:autoSpaceDN w:val="0"/>
        <w:adjustRightInd w:val="0"/>
        <w:spacing w:after="0"/>
        <w:jc w:val="both"/>
        <w:rPr>
          <w:rFonts w:ascii="Times New Roman" w:hAnsi="Times New Roman"/>
          <w:sz w:val="24"/>
          <w:szCs w:val="24"/>
        </w:rPr>
      </w:pPr>
    </w:p>
    <w:p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 seguenti quadri sinottici permettono di ripercorrere il processo di revisione degli indicatori condotto dall’ARCEA al fine di garantire sempre un allineamento tra i valori rilevati nel tempo e le soglie fissate quali valori attesi. </w:t>
      </w:r>
    </w:p>
    <w:p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particolare, assume un valore fondamentale il monitoraggio di metà anno che di fatto rappresenta l’ultimo dato ufficiale a disposizione dell’ente al momento della redazione del Piano. </w:t>
      </w:r>
    </w:p>
    <w:p w:rsidR="00897043"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ogni caso, seppur con dati non definitivi, le informazioni vengono incrociate con i valori finali degli indicatori (per come sono disponibili nei sistemi dell’Agenzia) con la finalità di assumere una decisione in merito all’eventuale rivisitazione del target. </w:t>
      </w:r>
    </w:p>
    <w:p w:rsidR="00E12332" w:rsidRPr="00E63330" w:rsidRDefault="00E12332" w:rsidP="00AB3CB1">
      <w:pPr>
        <w:autoSpaceDE w:val="0"/>
        <w:autoSpaceDN w:val="0"/>
        <w:adjustRightInd w:val="0"/>
        <w:spacing w:after="0"/>
        <w:jc w:val="both"/>
        <w:rPr>
          <w:rFonts w:ascii="Times New Roman" w:hAnsi="Times New Roman"/>
          <w:sz w:val="24"/>
          <w:szCs w:val="24"/>
        </w:rPr>
      </w:pPr>
    </w:p>
    <w:p w:rsidR="00E12332" w:rsidRDefault="00E12332" w:rsidP="00E12332">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Considerato l’elevato numero di nuovi indicatori nel Presente Piano, è stata introdotta una nuova modalità di comparazione, esplicitata in un’apposita tabella, nella quale per ogni indicatore (sia confermato rispetto allo scorso che di nuova istituzione) si riporta l’ultima misurazione disponibile, anche esterna ai precedenti cicli della Performance. </w:t>
      </w:r>
    </w:p>
    <w:p w:rsidR="00897043" w:rsidRPr="00E63330" w:rsidRDefault="00897043" w:rsidP="00AB3CB1">
      <w:pPr>
        <w:autoSpaceDE w:val="0"/>
        <w:autoSpaceDN w:val="0"/>
        <w:adjustRightInd w:val="0"/>
        <w:spacing w:after="0"/>
        <w:jc w:val="both"/>
        <w:rPr>
          <w:rFonts w:ascii="Times New Roman" w:hAnsi="Times New Roman"/>
          <w:sz w:val="24"/>
          <w:szCs w:val="24"/>
        </w:rPr>
      </w:pPr>
    </w:p>
    <w:p w:rsidR="00087E82" w:rsidRPr="00E63330" w:rsidRDefault="0096592E" w:rsidP="00AB3CB1">
      <w:pPr>
        <w:autoSpaceDE w:val="0"/>
        <w:autoSpaceDN w:val="0"/>
        <w:adjustRightInd w:val="0"/>
        <w:spacing w:after="0"/>
        <w:jc w:val="both"/>
        <w:rPr>
          <w:rFonts w:ascii="Times New Roman" w:hAnsi="Times New Roman"/>
          <w:b/>
          <w:sz w:val="24"/>
          <w:szCs w:val="24"/>
        </w:rPr>
      </w:pPr>
      <w:r w:rsidRPr="003C3367">
        <w:rPr>
          <w:rFonts w:ascii="Times New Roman" w:hAnsi="Times New Roman"/>
          <w:b/>
          <w:sz w:val="24"/>
          <w:szCs w:val="24"/>
        </w:rPr>
        <w:t xml:space="preserve">A Revisione Indicatori di impatto </w:t>
      </w:r>
    </w:p>
    <w:p w:rsidR="008854D3" w:rsidRDefault="008854D3" w:rsidP="00AB3CB1">
      <w:pPr>
        <w:autoSpaceDE w:val="0"/>
        <w:autoSpaceDN w:val="0"/>
        <w:adjustRightInd w:val="0"/>
        <w:spacing w:after="0"/>
        <w:jc w:val="both"/>
        <w:rPr>
          <w:rFonts w:ascii="Times New Roman" w:hAnsi="Times New Roman"/>
          <w:sz w:val="24"/>
          <w:szCs w:val="24"/>
        </w:rPr>
      </w:pPr>
    </w:p>
    <w:p w:rsidR="00087E82" w:rsidRPr="008854D3" w:rsidRDefault="008854D3" w:rsidP="00AB3CB1">
      <w:pPr>
        <w:autoSpaceDE w:val="0"/>
        <w:autoSpaceDN w:val="0"/>
        <w:adjustRightInd w:val="0"/>
        <w:spacing w:after="0"/>
        <w:jc w:val="both"/>
        <w:rPr>
          <w:rFonts w:ascii="Times New Roman" w:hAnsi="Times New Roman"/>
          <w:b/>
          <w:sz w:val="24"/>
          <w:szCs w:val="24"/>
        </w:rPr>
      </w:pPr>
      <w:r w:rsidRPr="008854D3">
        <w:rPr>
          <w:rFonts w:ascii="Times New Roman" w:hAnsi="Times New Roman"/>
          <w:b/>
          <w:sz w:val="24"/>
          <w:szCs w:val="24"/>
        </w:rPr>
        <w:t xml:space="preserve">A.1 Analisi degli Indicatori di impatto presenti nel precedente Piano delle Performance </w:t>
      </w:r>
    </w:p>
    <w:p w:rsidR="008854D3" w:rsidRPr="00E63330" w:rsidRDefault="008854D3" w:rsidP="00AB3CB1">
      <w:pPr>
        <w:autoSpaceDE w:val="0"/>
        <w:autoSpaceDN w:val="0"/>
        <w:adjustRightInd w:val="0"/>
        <w:spacing w:after="0"/>
        <w:jc w:val="both"/>
        <w:rPr>
          <w:rFonts w:ascii="Times New Roman"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27"/>
        <w:gridCol w:w="1076"/>
        <w:gridCol w:w="1509"/>
        <w:gridCol w:w="1237"/>
        <w:gridCol w:w="886"/>
        <w:gridCol w:w="886"/>
        <w:gridCol w:w="1191"/>
        <w:gridCol w:w="925"/>
      </w:tblGrid>
      <w:tr w:rsidR="001434F7" w:rsidRPr="00E63330" w:rsidTr="008A71A7">
        <w:trPr>
          <w:jc w:val="center"/>
        </w:trPr>
        <w:tc>
          <w:tcPr>
            <w:tcW w:w="348" w:type="pct"/>
            <w:vAlign w:val="center"/>
          </w:tcPr>
          <w:p w:rsidR="001434F7" w:rsidRPr="00E63330" w:rsidRDefault="0096592E" w:rsidP="003700A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O.S.</w:t>
            </w:r>
          </w:p>
        </w:tc>
        <w:tc>
          <w:tcPr>
            <w:tcW w:w="683" w:type="pct"/>
            <w:shd w:val="clear" w:color="auto" w:fill="auto"/>
            <w:vAlign w:val="center"/>
          </w:tcPr>
          <w:p w:rsidR="001434F7" w:rsidRPr="00E63330" w:rsidRDefault="0096592E" w:rsidP="003700A6">
            <w:pPr>
              <w:autoSpaceDE w:val="0"/>
              <w:autoSpaceDN w:val="0"/>
              <w:adjustRightInd w:val="0"/>
              <w:spacing w:after="0"/>
              <w:jc w:val="center"/>
              <w:rPr>
                <w:rFonts w:ascii="Times New Roman" w:hAnsi="Times New Roman"/>
                <w:sz w:val="18"/>
                <w:szCs w:val="18"/>
              </w:rPr>
            </w:pPr>
            <w:r w:rsidRPr="003C3367">
              <w:rPr>
                <w:rFonts w:ascii="Times New Roman" w:hAnsi="Times New Roman"/>
                <w:b/>
                <w:sz w:val="18"/>
                <w:szCs w:val="18"/>
              </w:rPr>
              <w:t>Indicatore di Impatto</w:t>
            </w:r>
          </w:p>
        </w:tc>
        <w:tc>
          <w:tcPr>
            <w:tcW w:w="554" w:type="pct"/>
            <w:shd w:val="clear" w:color="auto" w:fill="auto"/>
            <w:vAlign w:val="center"/>
          </w:tcPr>
          <w:p w:rsidR="001434F7" w:rsidRPr="00E63330" w:rsidRDefault="0096592E" w:rsidP="003700A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Fonte</w:t>
            </w:r>
          </w:p>
        </w:tc>
        <w:tc>
          <w:tcPr>
            <w:tcW w:w="777" w:type="pct"/>
            <w:shd w:val="clear" w:color="auto" w:fill="auto"/>
            <w:vAlign w:val="center"/>
          </w:tcPr>
          <w:p w:rsidR="001434F7" w:rsidRPr="00E63330" w:rsidRDefault="0096592E" w:rsidP="00A5260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Target 30/06 (Piano 201</w:t>
            </w:r>
            <w:r w:rsidR="00A52606">
              <w:rPr>
                <w:rFonts w:ascii="Times New Roman" w:hAnsi="Times New Roman"/>
                <w:b/>
                <w:sz w:val="18"/>
                <w:szCs w:val="18"/>
              </w:rPr>
              <w:t>8</w:t>
            </w:r>
            <w:r w:rsidRPr="003C3367">
              <w:rPr>
                <w:rFonts w:ascii="Times New Roman" w:hAnsi="Times New Roman"/>
                <w:b/>
                <w:sz w:val="18"/>
                <w:szCs w:val="18"/>
              </w:rPr>
              <w:t>)</w:t>
            </w:r>
          </w:p>
        </w:tc>
        <w:tc>
          <w:tcPr>
            <w:tcW w:w="637" w:type="pct"/>
            <w:vAlign w:val="center"/>
          </w:tcPr>
          <w:p w:rsidR="001434F7" w:rsidRPr="00E63330" w:rsidRDefault="0096592E" w:rsidP="001434F7">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Target 31/12 (Piano </w:t>
            </w:r>
            <w:r w:rsidR="00A52606" w:rsidRPr="003C3367">
              <w:rPr>
                <w:rFonts w:ascii="Times New Roman" w:hAnsi="Times New Roman"/>
                <w:b/>
                <w:sz w:val="18"/>
                <w:szCs w:val="18"/>
              </w:rPr>
              <w:t>201</w:t>
            </w:r>
            <w:r w:rsidR="00A52606">
              <w:rPr>
                <w:rFonts w:ascii="Times New Roman" w:hAnsi="Times New Roman"/>
                <w:b/>
                <w:sz w:val="18"/>
                <w:szCs w:val="18"/>
              </w:rPr>
              <w:t>8</w:t>
            </w:r>
            <w:r w:rsidRPr="003C3367">
              <w:rPr>
                <w:rFonts w:ascii="Times New Roman" w:hAnsi="Times New Roman"/>
                <w:b/>
                <w:sz w:val="18"/>
                <w:szCs w:val="18"/>
              </w:rPr>
              <w:t>)</w:t>
            </w:r>
          </w:p>
        </w:tc>
        <w:tc>
          <w:tcPr>
            <w:tcW w:w="456" w:type="pct"/>
            <w:vAlign w:val="center"/>
          </w:tcPr>
          <w:p w:rsidR="001434F7" w:rsidRPr="00E63330" w:rsidRDefault="0096592E" w:rsidP="00A5260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Dato rilevato al 30/06/201</w:t>
            </w:r>
            <w:r w:rsidR="00A52606">
              <w:rPr>
                <w:rFonts w:ascii="Times New Roman" w:hAnsi="Times New Roman"/>
                <w:b/>
                <w:sz w:val="18"/>
                <w:szCs w:val="18"/>
              </w:rPr>
              <w:t>8</w:t>
            </w:r>
          </w:p>
        </w:tc>
        <w:tc>
          <w:tcPr>
            <w:tcW w:w="456" w:type="pct"/>
            <w:vAlign w:val="center"/>
          </w:tcPr>
          <w:p w:rsidR="001434F7" w:rsidRPr="00E63330" w:rsidRDefault="0096592E" w:rsidP="00A5260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Nuovo Valore </w:t>
            </w:r>
            <w:r w:rsidR="00A52606">
              <w:rPr>
                <w:rFonts w:ascii="Times New Roman" w:hAnsi="Times New Roman"/>
                <w:b/>
                <w:sz w:val="18"/>
                <w:szCs w:val="18"/>
              </w:rPr>
              <w:t>2019</w:t>
            </w:r>
          </w:p>
        </w:tc>
        <w:tc>
          <w:tcPr>
            <w:tcW w:w="613" w:type="pct"/>
            <w:vAlign w:val="center"/>
          </w:tcPr>
          <w:p w:rsidR="001434F7" w:rsidRPr="00E63330" w:rsidRDefault="0096592E" w:rsidP="00A5260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Azione richiesta in sede di monitoraggio (Piano 201</w:t>
            </w:r>
            <w:r w:rsidR="00A52606">
              <w:rPr>
                <w:rFonts w:ascii="Times New Roman" w:hAnsi="Times New Roman"/>
                <w:b/>
                <w:sz w:val="18"/>
                <w:szCs w:val="18"/>
              </w:rPr>
              <w:t>8</w:t>
            </w:r>
            <w:r w:rsidRPr="003C3367">
              <w:rPr>
                <w:rFonts w:ascii="Times New Roman" w:hAnsi="Times New Roman"/>
                <w:b/>
                <w:sz w:val="18"/>
                <w:szCs w:val="18"/>
              </w:rPr>
              <w:t>)</w:t>
            </w:r>
          </w:p>
        </w:tc>
        <w:tc>
          <w:tcPr>
            <w:tcW w:w="476" w:type="pct"/>
            <w:shd w:val="clear" w:color="auto" w:fill="auto"/>
            <w:vAlign w:val="center"/>
          </w:tcPr>
          <w:p w:rsidR="001434F7" w:rsidRPr="00E63330" w:rsidRDefault="0096592E" w:rsidP="00A52606">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Decisione in fase di redazione del Piano </w:t>
            </w:r>
            <w:r w:rsidR="00A52606">
              <w:rPr>
                <w:rFonts w:ascii="Times New Roman" w:hAnsi="Times New Roman"/>
                <w:b/>
                <w:sz w:val="18"/>
                <w:szCs w:val="18"/>
              </w:rPr>
              <w:t>2019</w:t>
            </w:r>
          </w:p>
        </w:tc>
      </w:tr>
      <w:tr w:rsidR="00736F6E" w:rsidRPr="00E63330" w:rsidTr="008A71A7">
        <w:trPr>
          <w:trHeight w:val="1098"/>
          <w:jc w:val="center"/>
        </w:trPr>
        <w:tc>
          <w:tcPr>
            <w:tcW w:w="348" w:type="pct"/>
            <w:vAlign w:val="center"/>
          </w:tcPr>
          <w:p w:rsidR="00736F6E" w:rsidRPr="00E63330" w:rsidRDefault="00736F6E" w:rsidP="003700A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1</w:t>
            </w:r>
          </w:p>
        </w:tc>
        <w:tc>
          <w:tcPr>
            <w:tcW w:w="683" w:type="pct"/>
            <w:shd w:val="clear" w:color="auto" w:fill="auto"/>
            <w:vAlign w:val="center"/>
          </w:tcPr>
          <w:p w:rsidR="00736F6E" w:rsidRPr="00E63330" w:rsidRDefault="00736F6E" w:rsidP="003700A6">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II1.1: Percentuale di anomalie risolte dall’ARCEA in recepimento di istanze presentate all’Agenzia</w:t>
            </w:r>
          </w:p>
        </w:tc>
        <w:tc>
          <w:tcPr>
            <w:tcW w:w="554" w:type="pct"/>
            <w:shd w:val="clear" w:color="auto" w:fill="auto"/>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i/>
                <w:sz w:val="18"/>
                <w:szCs w:val="18"/>
              </w:rPr>
              <w:t>Incrocio tra banche dati SIAN e registro di risoluzione anomalie dell’URCAA</w:t>
            </w:r>
          </w:p>
        </w:tc>
        <w:tc>
          <w:tcPr>
            <w:tcW w:w="777" w:type="pct"/>
            <w:shd w:val="clear" w:color="auto" w:fill="auto"/>
            <w:vAlign w:val="center"/>
          </w:tcPr>
          <w:p w:rsidR="00736F6E" w:rsidRPr="00E63330" w:rsidRDefault="00736F6E" w:rsidP="003700A6">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&gt;=80% delle anomalie tecnico-amministrative rispetto alle istanze presentate al 30 Giugno</w:t>
            </w:r>
          </w:p>
        </w:tc>
        <w:tc>
          <w:tcPr>
            <w:tcW w:w="637" w:type="pct"/>
          </w:tcPr>
          <w:p w:rsidR="00736F6E" w:rsidRPr="00E63330" w:rsidRDefault="00736F6E" w:rsidP="001434F7">
            <w:pPr>
              <w:tabs>
                <w:tab w:val="left" w:pos="287"/>
              </w:tabs>
              <w:spacing w:after="120"/>
              <w:jc w:val="center"/>
              <w:rPr>
                <w:rFonts w:ascii="Times New Roman" w:hAnsi="Times New Roman"/>
                <w:sz w:val="18"/>
                <w:szCs w:val="18"/>
              </w:rPr>
            </w:pPr>
            <w:r w:rsidRPr="003C3367">
              <w:rPr>
                <w:rFonts w:ascii="Times New Roman" w:hAnsi="Times New Roman"/>
                <w:sz w:val="18"/>
                <w:szCs w:val="18"/>
              </w:rPr>
              <w:t>&gt;=80% delle anomalie tecnico-amministrative rispetto alle istanze presentate al 31 Dicembre</w:t>
            </w:r>
          </w:p>
        </w:tc>
        <w:tc>
          <w:tcPr>
            <w:tcW w:w="456" w:type="pct"/>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75%</w:t>
            </w:r>
          </w:p>
        </w:tc>
        <w:tc>
          <w:tcPr>
            <w:tcW w:w="456" w:type="pct"/>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c>
          <w:tcPr>
            <w:tcW w:w="613" w:type="pct"/>
            <w:vAlign w:val="center"/>
          </w:tcPr>
          <w:p w:rsidR="00736F6E" w:rsidRPr="003C3367" w:rsidRDefault="00736F6E" w:rsidP="003700A6">
            <w:pPr>
              <w:tabs>
                <w:tab w:val="left" w:pos="287"/>
              </w:tabs>
              <w:autoSpaceDE w:val="0"/>
              <w:autoSpaceDN w:val="0"/>
              <w:adjustRightInd w:val="0"/>
              <w:spacing w:after="120"/>
              <w:contextualSpacing/>
              <w:jc w:val="center"/>
              <w:outlineLvl w:val="0"/>
              <w:rPr>
                <w:rFonts w:ascii="Times New Roman" w:hAnsi="Times New Roman"/>
                <w:sz w:val="18"/>
                <w:szCs w:val="18"/>
              </w:rPr>
            </w:pPr>
          </w:p>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c>
          <w:tcPr>
            <w:tcW w:w="476" w:type="pct"/>
            <w:shd w:val="clear" w:color="auto" w:fill="auto"/>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736F6E" w:rsidRPr="00E63330" w:rsidTr="008A71A7">
        <w:trPr>
          <w:trHeight w:val="1097"/>
          <w:jc w:val="center"/>
        </w:trPr>
        <w:tc>
          <w:tcPr>
            <w:tcW w:w="348" w:type="pct"/>
            <w:vAlign w:val="center"/>
          </w:tcPr>
          <w:p w:rsidR="00736F6E" w:rsidRPr="00E63330" w:rsidRDefault="00736F6E" w:rsidP="001434F7">
            <w:pPr>
              <w:tabs>
                <w:tab w:val="left" w:pos="287"/>
              </w:tabs>
              <w:spacing w:after="120"/>
              <w:jc w:val="center"/>
              <w:rPr>
                <w:rFonts w:ascii="Times New Roman" w:hAnsi="Times New Roman"/>
                <w:sz w:val="18"/>
                <w:szCs w:val="18"/>
              </w:rPr>
            </w:pPr>
            <w:r w:rsidRPr="003C3367">
              <w:rPr>
                <w:rFonts w:ascii="Times New Roman" w:hAnsi="Times New Roman"/>
                <w:sz w:val="18"/>
                <w:szCs w:val="18"/>
              </w:rPr>
              <w:t>2</w:t>
            </w:r>
          </w:p>
        </w:tc>
        <w:tc>
          <w:tcPr>
            <w:tcW w:w="683" w:type="pct"/>
            <w:shd w:val="clear" w:color="auto" w:fill="auto"/>
            <w:vAlign w:val="center"/>
          </w:tcPr>
          <w:p w:rsidR="00736F6E" w:rsidRPr="00E63330" w:rsidRDefault="00736F6E" w:rsidP="008854D3">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II2.1: Percentuale di beneficiari pagati rispetto a quelli complessivamente aventi diritto </w:t>
            </w:r>
          </w:p>
        </w:tc>
        <w:tc>
          <w:tcPr>
            <w:tcW w:w="554" w:type="pct"/>
            <w:shd w:val="clear" w:color="auto" w:fill="auto"/>
            <w:vAlign w:val="center"/>
          </w:tcPr>
          <w:p w:rsidR="00736F6E" w:rsidRPr="00E63330" w:rsidRDefault="00736F6E" w:rsidP="001434F7">
            <w:pPr>
              <w:tabs>
                <w:tab w:val="left" w:pos="287"/>
              </w:tabs>
              <w:spacing w:after="120"/>
              <w:jc w:val="center"/>
              <w:rPr>
                <w:rFonts w:ascii="Times New Roman" w:hAnsi="Times New Roman"/>
                <w:sz w:val="18"/>
                <w:szCs w:val="18"/>
              </w:rPr>
            </w:pPr>
            <w:r w:rsidRPr="003C3367">
              <w:rPr>
                <w:rFonts w:ascii="Times New Roman" w:hAnsi="Times New Roman"/>
                <w:i/>
                <w:sz w:val="18"/>
                <w:szCs w:val="18"/>
              </w:rPr>
              <w:t>Sistema SIAN</w:t>
            </w:r>
          </w:p>
        </w:tc>
        <w:tc>
          <w:tcPr>
            <w:tcW w:w="777" w:type="pct"/>
            <w:shd w:val="clear" w:color="auto" w:fill="auto"/>
            <w:vAlign w:val="center"/>
          </w:tcPr>
          <w:p w:rsidR="00736F6E" w:rsidRPr="00E63330" w:rsidRDefault="00736F6E" w:rsidP="00E74997">
            <w:pPr>
              <w:tabs>
                <w:tab w:val="left" w:pos="0"/>
              </w:tabs>
              <w:spacing w:after="120"/>
              <w:ind w:hanging="101"/>
              <w:jc w:val="center"/>
              <w:rPr>
                <w:rFonts w:ascii="Times New Roman" w:hAnsi="Times New Roman"/>
                <w:sz w:val="18"/>
                <w:szCs w:val="18"/>
              </w:rPr>
            </w:pPr>
            <w:r w:rsidRPr="003C3367">
              <w:rPr>
                <w:rFonts w:ascii="Times New Roman" w:hAnsi="Times New Roman"/>
                <w:sz w:val="18"/>
                <w:szCs w:val="18"/>
              </w:rPr>
              <w:t>&gt;= 30%</w:t>
            </w:r>
          </w:p>
        </w:tc>
        <w:tc>
          <w:tcPr>
            <w:tcW w:w="637" w:type="pct"/>
            <w:vAlign w:val="center"/>
          </w:tcPr>
          <w:p w:rsidR="00736F6E" w:rsidRPr="00E63330" w:rsidRDefault="00736F6E" w:rsidP="00E74997">
            <w:pPr>
              <w:tabs>
                <w:tab w:val="left" w:pos="-51"/>
              </w:tabs>
              <w:spacing w:after="120"/>
              <w:ind w:hanging="51"/>
              <w:jc w:val="center"/>
              <w:rPr>
                <w:rFonts w:ascii="Times New Roman" w:hAnsi="Times New Roman"/>
                <w:sz w:val="18"/>
                <w:szCs w:val="18"/>
              </w:rPr>
            </w:pPr>
            <w:r w:rsidRPr="003C3367">
              <w:rPr>
                <w:rFonts w:ascii="Times New Roman" w:hAnsi="Times New Roman"/>
                <w:sz w:val="18"/>
                <w:szCs w:val="18"/>
              </w:rPr>
              <w:t>&gt;= 90%</w:t>
            </w:r>
          </w:p>
        </w:tc>
        <w:tc>
          <w:tcPr>
            <w:tcW w:w="456" w:type="pct"/>
            <w:vAlign w:val="center"/>
          </w:tcPr>
          <w:p w:rsidR="00736F6E" w:rsidRPr="00E63330" w:rsidRDefault="00736F6E" w:rsidP="00E74997">
            <w:pPr>
              <w:tabs>
                <w:tab w:val="left" w:pos="-12"/>
              </w:tabs>
              <w:spacing w:after="120"/>
              <w:ind w:hanging="12"/>
              <w:jc w:val="center"/>
              <w:rPr>
                <w:rFonts w:ascii="Times New Roman" w:hAnsi="Times New Roman"/>
                <w:sz w:val="18"/>
                <w:szCs w:val="18"/>
              </w:rPr>
            </w:pPr>
            <w:r w:rsidRPr="003C3367">
              <w:rPr>
                <w:rFonts w:ascii="Times New Roman" w:hAnsi="Times New Roman"/>
                <w:sz w:val="18"/>
                <w:szCs w:val="18"/>
              </w:rPr>
              <w:t>30%</w:t>
            </w:r>
          </w:p>
        </w:tc>
        <w:tc>
          <w:tcPr>
            <w:tcW w:w="456" w:type="pct"/>
            <w:vAlign w:val="center"/>
          </w:tcPr>
          <w:p w:rsidR="00736F6E" w:rsidRPr="00E63330" w:rsidRDefault="00736F6E" w:rsidP="00736F6E">
            <w:pPr>
              <w:tabs>
                <w:tab w:val="left" w:pos="287"/>
              </w:tabs>
              <w:spacing w:after="120"/>
              <w:rPr>
                <w:rFonts w:ascii="Times New Roman" w:hAnsi="Times New Roman"/>
                <w:sz w:val="18"/>
                <w:szCs w:val="18"/>
              </w:rPr>
            </w:pPr>
            <w:r w:rsidRPr="003C3367">
              <w:rPr>
                <w:rFonts w:ascii="Times New Roman" w:hAnsi="Times New Roman"/>
                <w:sz w:val="18"/>
                <w:szCs w:val="18"/>
              </w:rPr>
              <w:t>Indicatore non confermato</w:t>
            </w:r>
          </w:p>
        </w:tc>
        <w:tc>
          <w:tcPr>
            <w:tcW w:w="613" w:type="pct"/>
            <w:vAlign w:val="center"/>
          </w:tcPr>
          <w:p w:rsidR="00736F6E" w:rsidRPr="003C3367" w:rsidRDefault="00736F6E" w:rsidP="001434F7">
            <w:pPr>
              <w:tabs>
                <w:tab w:val="left" w:pos="287"/>
              </w:tabs>
              <w:autoSpaceDE w:val="0"/>
              <w:autoSpaceDN w:val="0"/>
              <w:adjustRightInd w:val="0"/>
              <w:spacing w:after="120"/>
              <w:contextualSpacing/>
              <w:jc w:val="center"/>
              <w:outlineLvl w:val="0"/>
              <w:rPr>
                <w:rFonts w:ascii="Times New Roman" w:hAnsi="Times New Roman"/>
                <w:sz w:val="18"/>
                <w:szCs w:val="18"/>
              </w:rPr>
            </w:pPr>
          </w:p>
          <w:p w:rsidR="00736F6E" w:rsidRPr="00E63330" w:rsidRDefault="00736F6E" w:rsidP="001434F7">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c>
          <w:tcPr>
            <w:tcW w:w="476" w:type="pct"/>
            <w:shd w:val="clear" w:color="auto" w:fill="auto"/>
            <w:vAlign w:val="center"/>
          </w:tcPr>
          <w:p w:rsidR="00736F6E" w:rsidRPr="00E63330" w:rsidRDefault="00736F6E" w:rsidP="001434F7">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736F6E" w:rsidRPr="00E63330" w:rsidTr="008A71A7">
        <w:trPr>
          <w:trHeight w:val="1425"/>
          <w:jc w:val="center"/>
        </w:trPr>
        <w:tc>
          <w:tcPr>
            <w:tcW w:w="348" w:type="pct"/>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lastRenderedPageBreak/>
              <w:t>3</w:t>
            </w:r>
          </w:p>
        </w:tc>
        <w:tc>
          <w:tcPr>
            <w:tcW w:w="683" w:type="pct"/>
            <w:shd w:val="clear" w:color="auto" w:fill="auto"/>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II3.1: Possibilità per beneficiari aventi diritto di presentare le domande di pagamento per la PAC 2014/2020 e l’UMA entro i termini stabiliti dalla legge</w:t>
            </w:r>
          </w:p>
        </w:tc>
        <w:tc>
          <w:tcPr>
            <w:tcW w:w="554" w:type="pct"/>
            <w:shd w:val="clear" w:color="auto" w:fill="auto"/>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i/>
                <w:sz w:val="18"/>
                <w:szCs w:val="18"/>
              </w:rPr>
              <w:t>Sistema SIAN</w:t>
            </w:r>
          </w:p>
        </w:tc>
        <w:tc>
          <w:tcPr>
            <w:tcW w:w="777" w:type="pct"/>
            <w:shd w:val="clear" w:color="auto" w:fill="auto"/>
            <w:vAlign w:val="center"/>
          </w:tcPr>
          <w:p w:rsidR="00736F6E" w:rsidRPr="00E63330" w:rsidRDefault="00736F6E" w:rsidP="003700A6">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 dei beneficiari aventi diritto rispetto alle domande la cui scadenza è fissata al 30 Giugno</w:t>
            </w:r>
          </w:p>
        </w:tc>
        <w:tc>
          <w:tcPr>
            <w:tcW w:w="637" w:type="pct"/>
            <w:vAlign w:val="center"/>
          </w:tcPr>
          <w:p w:rsidR="00736F6E" w:rsidRPr="00E63330" w:rsidRDefault="00736F6E" w:rsidP="007971C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 dei beneficiari aventi diritto rispetto alle domande la cui scadenza è fissata al 31 Dicembre</w:t>
            </w:r>
          </w:p>
        </w:tc>
        <w:tc>
          <w:tcPr>
            <w:tcW w:w="456" w:type="pct"/>
            <w:vAlign w:val="center"/>
          </w:tcPr>
          <w:p w:rsidR="00736F6E" w:rsidRPr="00E63330" w:rsidRDefault="00736F6E" w:rsidP="003700A6">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456" w:type="pct"/>
            <w:vAlign w:val="center"/>
          </w:tcPr>
          <w:p w:rsidR="00736F6E" w:rsidRPr="00E63330" w:rsidRDefault="00736F6E" w:rsidP="00736F6E">
            <w:pPr>
              <w:tabs>
                <w:tab w:val="left" w:pos="287"/>
              </w:tabs>
              <w:spacing w:after="120"/>
              <w:rPr>
                <w:rFonts w:ascii="Times New Roman" w:hAnsi="Times New Roman"/>
                <w:sz w:val="18"/>
                <w:szCs w:val="18"/>
              </w:rPr>
            </w:pPr>
            <w:r w:rsidRPr="003C3367">
              <w:rPr>
                <w:rFonts w:ascii="Times New Roman" w:hAnsi="Times New Roman"/>
                <w:sz w:val="18"/>
                <w:szCs w:val="18"/>
              </w:rPr>
              <w:t>Indicatore non confermato</w:t>
            </w:r>
          </w:p>
        </w:tc>
        <w:tc>
          <w:tcPr>
            <w:tcW w:w="613" w:type="pct"/>
            <w:vAlign w:val="center"/>
          </w:tcPr>
          <w:p w:rsidR="00736F6E" w:rsidRPr="003C3367" w:rsidRDefault="00736F6E" w:rsidP="003700A6">
            <w:pPr>
              <w:tabs>
                <w:tab w:val="left" w:pos="287"/>
              </w:tabs>
              <w:autoSpaceDE w:val="0"/>
              <w:autoSpaceDN w:val="0"/>
              <w:adjustRightInd w:val="0"/>
              <w:spacing w:after="120"/>
              <w:contextualSpacing/>
              <w:jc w:val="center"/>
              <w:outlineLvl w:val="0"/>
              <w:rPr>
                <w:rFonts w:ascii="Times New Roman" w:hAnsi="Times New Roman"/>
                <w:sz w:val="18"/>
                <w:szCs w:val="18"/>
              </w:rPr>
            </w:pPr>
          </w:p>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c>
          <w:tcPr>
            <w:tcW w:w="476" w:type="pct"/>
            <w:shd w:val="clear" w:color="auto" w:fill="auto"/>
            <w:vAlign w:val="center"/>
          </w:tcPr>
          <w:p w:rsidR="00736F6E" w:rsidRPr="00E63330" w:rsidRDefault="00736F6E" w:rsidP="003700A6">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bl>
    <w:p w:rsidR="00B065B5" w:rsidRPr="00E63330" w:rsidRDefault="00B065B5" w:rsidP="00AB3CB1">
      <w:pPr>
        <w:autoSpaceDE w:val="0"/>
        <w:autoSpaceDN w:val="0"/>
        <w:adjustRightInd w:val="0"/>
        <w:spacing w:after="0"/>
        <w:jc w:val="both"/>
        <w:rPr>
          <w:rFonts w:ascii="Times New Roman" w:hAnsi="Times New Roman"/>
          <w:sz w:val="24"/>
          <w:szCs w:val="24"/>
        </w:rPr>
      </w:pPr>
    </w:p>
    <w:p w:rsidR="008854D3" w:rsidRDefault="008854D3" w:rsidP="007B183D">
      <w:pPr>
        <w:autoSpaceDE w:val="0"/>
        <w:autoSpaceDN w:val="0"/>
        <w:adjustRightInd w:val="0"/>
        <w:spacing w:after="0"/>
        <w:rPr>
          <w:rFonts w:ascii="Times New Roman" w:hAnsi="Times New Roman"/>
          <w:b/>
          <w:sz w:val="24"/>
          <w:szCs w:val="24"/>
        </w:rPr>
      </w:pPr>
    </w:p>
    <w:p w:rsidR="008854D3" w:rsidRDefault="008854D3"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A.2 Analisi degli Indicatori di impatto inseriti per la prima volta nel presente Piano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4"/>
        <w:gridCol w:w="2294"/>
        <w:gridCol w:w="2292"/>
        <w:gridCol w:w="2292"/>
      </w:tblGrid>
      <w:tr w:rsidR="008854D3" w:rsidRPr="00E63330" w:rsidTr="008854D3">
        <w:tc>
          <w:tcPr>
            <w:tcW w:w="1459" w:type="pct"/>
            <w:shd w:val="clear" w:color="auto" w:fill="auto"/>
            <w:vAlign w:val="center"/>
          </w:tcPr>
          <w:p w:rsidR="008854D3" w:rsidRPr="00E63330" w:rsidRDefault="008854D3" w:rsidP="008854D3">
            <w:pPr>
              <w:autoSpaceDE w:val="0"/>
              <w:autoSpaceDN w:val="0"/>
              <w:adjustRightInd w:val="0"/>
              <w:spacing w:after="0"/>
              <w:rPr>
                <w:rFonts w:ascii="Times New Roman" w:hAnsi="Times New Roman"/>
                <w:sz w:val="24"/>
                <w:szCs w:val="24"/>
              </w:rPr>
            </w:pPr>
            <w:r>
              <w:rPr>
                <w:rFonts w:ascii="Times New Roman" w:hAnsi="Times New Roman"/>
                <w:b/>
                <w:sz w:val="18"/>
                <w:szCs w:val="18"/>
              </w:rPr>
              <w:t>Indicatore di Impatto</w:t>
            </w:r>
          </w:p>
        </w:tc>
        <w:tc>
          <w:tcPr>
            <w:tcW w:w="1181" w:type="pct"/>
            <w:shd w:val="clear" w:color="auto" w:fill="auto"/>
          </w:tcPr>
          <w:p w:rsidR="008854D3" w:rsidRPr="00E63330" w:rsidRDefault="008854D3" w:rsidP="008854D3">
            <w:pPr>
              <w:autoSpaceDE w:val="0"/>
              <w:autoSpaceDN w:val="0"/>
              <w:adjustRightInd w:val="0"/>
              <w:spacing w:after="0"/>
              <w:rPr>
                <w:rFonts w:ascii="Times New Roman" w:hAnsi="Times New Roman"/>
                <w:b/>
                <w:sz w:val="18"/>
                <w:szCs w:val="18"/>
              </w:rPr>
            </w:pPr>
            <w:r>
              <w:rPr>
                <w:rFonts w:ascii="Times New Roman" w:hAnsi="Times New Roman"/>
                <w:b/>
                <w:sz w:val="18"/>
                <w:szCs w:val="18"/>
              </w:rPr>
              <w:t>Fonte</w:t>
            </w:r>
          </w:p>
        </w:tc>
        <w:tc>
          <w:tcPr>
            <w:tcW w:w="1180" w:type="pct"/>
            <w:shd w:val="clear" w:color="auto" w:fill="auto"/>
          </w:tcPr>
          <w:p w:rsidR="008854D3" w:rsidRPr="00E63330" w:rsidRDefault="008854D3" w:rsidP="008854D3">
            <w:pPr>
              <w:autoSpaceDE w:val="0"/>
              <w:autoSpaceDN w:val="0"/>
              <w:adjustRightInd w:val="0"/>
              <w:spacing w:after="0"/>
              <w:rPr>
                <w:rFonts w:ascii="Times New Roman" w:hAnsi="Times New Roman"/>
                <w:b/>
                <w:sz w:val="18"/>
                <w:szCs w:val="18"/>
              </w:rPr>
            </w:pPr>
            <w:r>
              <w:rPr>
                <w:rFonts w:ascii="Times New Roman" w:hAnsi="Times New Roman"/>
                <w:b/>
                <w:sz w:val="18"/>
                <w:szCs w:val="18"/>
              </w:rPr>
              <w:t>Target 31/12</w:t>
            </w:r>
          </w:p>
        </w:tc>
        <w:tc>
          <w:tcPr>
            <w:tcW w:w="1180" w:type="pct"/>
          </w:tcPr>
          <w:p w:rsidR="008854D3" w:rsidRDefault="008854D3" w:rsidP="00862710">
            <w:pPr>
              <w:autoSpaceDE w:val="0"/>
              <w:autoSpaceDN w:val="0"/>
              <w:adjustRightInd w:val="0"/>
              <w:spacing w:after="0"/>
              <w:rPr>
                <w:rFonts w:ascii="Times New Roman" w:hAnsi="Times New Roman"/>
                <w:b/>
                <w:sz w:val="18"/>
                <w:szCs w:val="18"/>
              </w:rPr>
            </w:pPr>
            <w:r>
              <w:rPr>
                <w:rFonts w:ascii="Times New Roman" w:hAnsi="Times New Roman"/>
                <w:b/>
                <w:sz w:val="18"/>
                <w:szCs w:val="18"/>
              </w:rPr>
              <w:t xml:space="preserve">Risultati </w:t>
            </w:r>
            <w:r w:rsidR="00862710">
              <w:rPr>
                <w:rFonts w:ascii="Times New Roman" w:hAnsi="Times New Roman"/>
                <w:b/>
                <w:sz w:val="18"/>
                <w:szCs w:val="18"/>
              </w:rPr>
              <w:t>u</w:t>
            </w:r>
            <w:r>
              <w:rPr>
                <w:rFonts w:ascii="Times New Roman" w:hAnsi="Times New Roman"/>
                <w:b/>
                <w:sz w:val="18"/>
                <w:szCs w:val="18"/>
              </w:rPr>
              <w:t xml:space="preserve">ltima rilevazione </w:t>
            </w:r>
          </w:p>
        </w:tc>
      </w:tr>
      <w:tr w:rsidR="008854D3" w:rsidRPr="00E63330" w:rsidTr="008854D3">
        <w:trPr>
          <w:trHeight w:val="1098"/>
        </w:trPr>
        <w:tc>
          <w:tcPr>
            <w:tcW w:w="1459" w:type="pct"/>
            <w:shd w:val="clear" w:color="auto" w:fill="auto"/>
            <w:vAlign w:val="center"/>
          </w:tcPr>
          <w:p w:rsidR="008854D3" w:rsidRPr="00E63330" w:rsidRDefault="008854D3" w:rsidP="008854D3">
            <w:pPr>
              <w:tabs>
                <w:tab w:val="left" w:pos="3144"/>
              </w:tabs>
              <w:rPr>
                <w:rFonts w:ascii="Times New Roman" w:hAnsi="Times New Roman"/>
                <w:sz w:val="20"/>
                <w:szCs w:val="20"/>
              </w:rPr>
            </w:pPr>
            <w:r>
              <w:rPr>
                <w:rFonts w:ascii="Times New Roman" w:hAnsi="Times New Roman"/>
                <w:sz w:val="20"/>
                <w:szCs w:val="20"/>
              </w:rPr>
              <w:t>II.1.1 Percentuale di ricevimenti dell’ufficio URCAA per i quali gli operatori CAA rilasciano un giudizio positivo</w:t>
            </w:r>
          </w:p>
          <w:p w:rsidR="008854D3" w:rsidRPr="00E63330" w:rsidRDefault="008854D3" w:rsidP="008854D3">
            <w:pPr>
              <w:autoSpaceDE w:val="0"/>
              <w:autoSpaceDN w:val="0"/>
              <w:adjustRightInd w:val="0"/>
              <w:spacing w:after="0"/>
              <w:rPr>
                <w:rFonts w:ascii="Times New Roman" w:hAnsi="Times New Roman"/>
                <w:sz w:val="18"/>
                <w:szCs w:val="18"/>
              </w:rPr>
            </w:pPr>
          </w:p>
        </w:tc>
        <w:tc>
          <w:tcPr>
            <w:tcW w:w="1181" w:type="pct"/>
            <w:shd w:val="clear" w:color="auto" w:fill="auto"/>
            <w:vAlign w:val="center"/>
          </w:tcPr>
          <w:p w:rsidR="008854D3" w:rsidRPr="00E63330" w:rsidRDefault="008854D3" w:rsidP="008854D3">
            <w:pPr>
              <w:tabs>
                <w:tab w:val="left" w:pos="287"/>
              </w:tabs>
              <w:spacing w:after="120"/>
              <w:rPr>
                <w:rFonts w:ascii="Times New Roman" w:hAnsi="Times New Roman"/>
                <w:sz w:val="18"/>
                <w:szCs w:val="18"/>
              </w:rPr>
            </w:pPr>
            <w:r>
              <w:rPr>
                <w:rFonts w:ascii="Times New Roman" w:hAnsi="Times New Roman"/>
                <w:sz w:val="20"/>
                <w:szCs w:val="20"/>
              </w:rPr>
              <w:t>Sistema informativo per la gestione degli appuntamenti online</w:t>
            </w:r>
          </w:p>
        </w:tc>
        <w:tc>
          <w:tcPr>
            <w:tcW w:w="1180" w:type="pct"/>
            <w:shd w:val="clear" w:color="auto" w:fill="auto"/>
            <w:vAlign w:val="center"/>
          </w:tcPr>
          <w:p w:rsidR="008854D3" w:rsidRPr="00E63330" w:rsidRDefault="008854D3" w:rsidP="008854D3">
            <w:pPr>
              <w:tabs>
                <w:tab w:val="left" w:pos="287"/>
              </w:tabs>
              <w:spacing w:after="120"/>
              <w:rPr>
                <w:rFonts w:ascii="Times New Roman" w:hAnsi="Times New Roman"/>
                <w:sz w:val="18"/>
                <w:szCs w:val="18"/>
              </w:rPr>
            </w:pPr>
            <w:r>
              <w:rPr>
                <w:rFonts w:ascii="Times New Roman" w:hAnsi="Times New Roman"/>
                <w:sz w:val="20"/>
                <w:szCs w:val="20"/>
              </w:rPr>
              <w:t>Percentuale di ricevimenti dell’ufficio URCAA per i quali gli operatori CAA rilasciano un giudizio positivo</w:t>
            </w:r>
            <w:r w:rsidR="00CB3C4F">
              <w:rPr>
                <w:rFonts w:ascii="Times New Roman" w:hAnsi="Times New Roman"/>
                <w:sz w:val="20"/>
                <w:szCs w:val="20"/>
              </w:rPr>
              <w:t xml:space="preserve"> </w:t>
            </w:r>
            <w:r>
              <w:rPr>
                <w:rFonts w:ascii="Times New Roman" w:hAnsi="Times New Roman"/>
                <w:sz w:val="24"/>
                <w:szCs w:val="24"/>
              </w:rPr>
              <w:t xml:space="preserve">&gt;= </w:t>
            </w:r>
            <w:r w:rsidRPr="00091EE6">
              <w:rPr>
                <w:rFonts w:ascii="Times New Roman" w:hAnsi="Times New Roman"/>
                <w:sz w:val="20"/>
                <w:szCs w:val="20"/>
              </w:rPr>
              <w:t>60%</w:t>
            </w:r>
          </w:p>
        </w:tc>
        <w:tc>
          <w:tcPr>
            <w:tcW w:w="1180" w:type="pct"/>
            <w:vAlign w:val="center"/>
          </w:tcPr>
          <w:p w:rsidR="008854D3" w:rsidRDefault="008854D3" w:rsidP="007053B8">
            <w:pPr>
              <w:tabs>
                <w:tab w:val="left" w:pos="287"/>
              </w:tabs>
              <w:spacing w:after="120"/>
              <w:rPr>
                <w:rFonts w:ascii="Times New Roman" w:hAnsi="Times New Roman"/>
                <w:sz w:val="20"/>
                <w:szCs w:val="20"/>
              </w:rPr>
            </w:pPr>
            <w:r>
              <w:rPr>
                <w:rFonts w:ascii="Times New Roman" w:hAnsi="Times New Roman"/>
                <w:sz w:val="20"/>
                <w:szCs w:val="20"/>
              </w:rPr>
              <w:t>Si tratta di una procedura di nuova attivazione</w:t>
            </w:r>
            <w:r w:rsidR="007053B8">
              <w:rPr>
                <w:rFonts w:ascii="Times New Roman" w:hAnsi="Times New Roman"/>
                <w:sz w:val="20"/>
                <w:szCs w:val="20"/>
              </w:rPr>
              <w:t>, che ha carattere sperimentale come spiegato nella prima parte del Piano ed in particolare nella sezione “</w:t>
            </w:r>
            <w:r w:rsidR="007053B8" w:rsidRPr="007053B8">
              <w:rPr>
                <w:rFonts w:ascii="Times New Roman" w:hAnsi="Times New Roman"/>
                <w:sz w:val="20"/>
                <w:szCs w:val="20"/>
              </w:rPr>
              <w:t>La scelta degli indicatori</w:t>
            </w:r>
            <w:r w:rsidR="007053B8">
              <w:rPr>
                <w:rFonts w:ascii="Times New Roman" w:hAnsi="Times New Roman"/>
                <w:sz w:val="20"/>
                <w:szCs w:val="20"/>
              </w:rPr>
              <w:t xml:space="preserve">”. </w:t>
            </w:r>
          </w:p>
        </w:tc>
      </w:tr>
      <w:tr w:rsidR="008854D3" w:rsidRPr="00E63330" w:rsidTr="008854D3">
        <w:trPr>
          <w:trHeight w:val="1097"/>
        </w:trPr>
        <w:tc>
          <w:tcPr>
            <w:tcW w:w="1459" w:type="pct"/>
            <w:shd w:val="clear" w:color="auto" w:fill="auto"/>
            <w:vAlign w:val="center"/>
          </w:tcPr>
          <w:p w:rsidR="008854D3" w:rsidRPr="00E63330" w:rsidRDefault="008854D3" w:rsidP="008854D3">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 xml:space="preserve">II.2.1 Raggiungimento del target relativo all’N+3 per il Fondo FEASR </w:t>
            </w:r>
          </w:p>
          <w:p w:rsidR="008854D3" w:rsidRPr="00E63330" w:rsidRDefault="008854D3" w:rsidP="008854D3">
            <w:pPr>
              <w:tabs>
                <w:tab w:val="left" w:pos="287"/>
              </w:tabs>
              <w:spacing w:after="120"/>
              <w:rPr>
                <w:rFonts w:ascii="Times New Roman" w:hAnsi="Times New Roman"/>
                <w:sz w:val="18"/>
                <w:szCs w:val="18"/>
              </w:rPr>
            </w:pPr>
          </w:p>
        </w:tc>
        <w:tc>
          <w:tcPr>
            <w:tcW w:w="1181" w:type="pct"/>
            <w:shd w:val="clear" w:color="auto" w:fill="auto"/>
            <w:vAlign w:val="center"/>
          </w:tcPr>
          <w:p w:rsidR="008854D3" w:rsidRPr="00E63330" w:rsidRDefault="008854D3" w:rsidP="008854D3">
            <w:pPr>
              <w:tabs>
                <w:tab w:val="left" w:pos="287"/>
              </w:tabs>
              <w:spacing w:after="120"/>
              <w:rPr>
                <w:rFonts w:ascii="Times New Roman" w:hAnsi="Times New Roman"/>
                <w:sz w:val="18"/>
                <w:szCs w:val="18"/>
              </w:rPr>
            </w:pPr>
            <w:r>
              <w:rPr>
                <w:rFonts w:ascii="Times New Roman" w:hAnsi="Times New Roman"/>
                <w:sz w:val="20"/>
                <w:szCs w:val="20"/>
              </w:rPr>
              <w:t>Riscontrabile dal Report di “Rete Rurale”</w:t>
            </w:r>
          </w:p>
        </w:tc>
        <w:tc>
          <w:tcPr>
            <w:tcW w:w="1180" w:type="pct"/>
            <w:shd w:val="clear" w:color="auto" w:fill="auto"/>
            <w:vAlign w:val="center"/>
          </w:tcPr>
          <w:p w:rsidR="008854D3" w:rsidRDefault="008854D3" w:rsidP="003C3367">
            <w:pPr>
              <w:tabs>
                <w:tab w:val="left" w:pos="287"/>
              </w:tabs>
              <w:spacing w:after="120"/>
              <w:rPr>
                <w:rFonts w:ascii="Times New Roman" w:hAnsi="Times New Roman"/>
                <w:sz w:val="18"/>
                <w:szCs w:val="18"/>
              </w:rPr>
            </w:pPr>
            <w:r>
              <w:rPr>
                <w:rFonts w:ascii="Times New Roman" w:hAnsi="Times New Roman"/>
                <w:sz w:val="20"/>
                <w:szCs w:val="20"/>
              </w:rPr>
              <w:t xml:space="preserve">Percentuale di realizzazione </w:t>
            </w:r>
            <w:r w:rsidR="007053B8">
              <w:rPr>
                <w:rFonts w:ascii="Times New Roman" w:hAnsi="Times New Roman"/>
                <w:sz w:val="20"/>
                <w:szCs w:val="20"/>
              </w:rPr>
              <w:t>d</w:t>
            </w:r>
            <w:r>
              <w:rPr>
                <w:rFonts w:ascii="Times New Roman" w:hAnsi="Times New Roman"/>
                <w:sz w:val="20"/>
                <w:szCs w:val="20"/>
              </w:rPr>
              <w:t>elle spese dell’anno di Impegno 2016 pari al 100 %</w:t>
            </w:r>
          </w:p>
        </w:tc>
        <w:tc>
          <w:tcPr>
            <w:tcW w:w="1180" w:type="pct"/>
            <w:vAlign w:val="center"/>
          </w:tcPr>
          <w:p w:rsidR="008854D3" w:rsidRDefault="007053B8" w:rsidP="008854D3">
            <w:pPr>
              <w:tabs>
                <w:tab w:val="left" w:pos="287"/>
              </w:tabs>
              <w:spacing w:after="120"/>
              <w:rPr>
                <w:rFonts w:ascii="Times New Roman" w:hAnsi="Times New Roman"/>
                <w:sz w:val="20"/>
                <w:szCs w:val="20"/>
              </w:rPr>
            </w:pPr>
            <w:r>
              <w:rPr>
                <w:rFonts w:ascii="Times New Roman" w:hAnsi="Times New Roman"/>
                <w:sz w:val="20"/>
                <w:szCs w:val="20"/>
              </w:rPr>
              <w:t xml:space="preserve">Il precedente target relativo all’N+3, che si riferiva alla percentuale di realizzazione delle spese dell’anno di impegno 2015,  è stato raggiunto con il valore del 100%. E’ necessario sottolineare, però, i due target non sono pienamente equiparabili perché riferiti ad annualità e contesti differenti, secondo quanto specificato nel Programma di Sviluppo Rurale 2014 – 2020 della Regione Calabria cui si rimanda. </w:t>
            </w:r>
          </w:p>
        </w:tc>
      </w:tr>
      <w:tr w:rsidR="008854D3" w:rsidRPr="00E63330" w:rsidTr="008854D3">
        <w:trPr>
          <w:trHeight w:val="1097"/>
        </w:trPr>
        <w:tc>
          <w:tcPr>
            <w:tcW w:w="1459" w:type="pct"/>
            <w:shd w:val="clear" w:color="auto" w:fill="auto"/>
            <w:vAlign w:val="center"/>
          </w:tcPr>
          <w:p w:rsidR="008854D3" w:rsidRDefault="008854D3" w:rsidP="003C3367">
            <w:pPr>
              <w:widowControl w:val="0"/>
              <w:autoSpaceDE w:val="0"/>
              <w:autoSpaceDN w:val="0"/>
              <w:adjustRightInd w:val="0"/>
              <w:spacing w:after="0"/>
              <w:rPr>
                <w:rFonts w:ascii="Times New Roman" w:hAnsi="Times New Roman"/>
                <w:sz w:val="18"/>
                <w:szCs w:val="18"/>
              </w:rPr>
            </w:pPr>
            <w:r>
              <w:rPr>
                <w:rFonts w:ascii="Times New Roman" w:hAnsi="Times New Roman"/>
                <w:sz w:val="20"/>
                <w:szCs w:val="20"/>
              </w:rPr>
              <w:t xml:space="preserve">II.2.2 Raggiungimento del target di spesa relativo al Fondo FEAGA per le domande presentate nella campagna 2018 </w:t>
            </w:r>
          </w:p>
        </w:tc>
        <w:tc>
          <w:tcPr>
            <w:tcW w:w="1181" w:type="pct"/>
            <w:shd w:val="clear" w:color="auto" w:fill="auto"/>
            <w:vAlign w:val="center"/>
          </w:tcPr>
          <w:p w:rsidR="008854D3" w:rsidRPr="00E63330" w:rsidRDefault="008854D3" w:rsidP="008854D3">
            <w:pPr>
              <w:tabs>
                <w:tab w:val="left" w:pos="287"/>
              </w:tabs>
              <w:spacing w:after="120"/>
              <w:rPr>
                <w:rFonts w:ascii="Times New Roman" w:hAnsi="Times New Roman"/>
                <w:i/>
                <w:sz w:val="18"/>
                <w:szCs w:val="18"/>
              </w:rPr>
            </w:pPr>
            <w:r>
              <w:rPr>
                <w:rFonts w:ascii="Times New Roman" w:hAnsi="Times New Roman"/>
                <w:sz w:val="20"/>
                <w:szCs w:val="20"/>
              </w:rPr>
              <w:t>Riscontrabile dal sistema SIAN</w:t>
            </w:r>
          </w:p>
        </w:tc>
        <w:tc>
          <w:tcPr>
            <w:tcW w:w="1180" w:type="pct"/>
            <w:shd w:val="clear" w:color="auto" w:fill="auto"/>
            <w:vAlign w:val="center"/>
          </w:tcPr>
          <w:p w:rsidR="008854D3" w:rsidRPr="00E63330" w:rsidDel="00B96644" w:rsidRDefault="008854D3" w:rsidP="007053B8">
            <w:pPr>
              <w:tabs>
                <w:tab w:val="left" w:pos="287"/>
              </w:tabs>
              <w:spacing w:after="120"/>
              <w:rPr>
                <w:rFonts w:ascii="Times New Roman" w:hAnsi="Times New Roman"/>
                <w:sz w:val="24"/>
                <w:szCs w:val="24"/>
              </w:rPr>
            </w:pPr>
            <w:r>
              <w:rPr>
                <w:rFonts w:ascii="Times New Roman" w:hAnsi="Times New Roman"/>
                <w:sz w:val="20"/>
                <w:szCs w:val="20"/>
              </w:rPr>
              <w:t>Almeno il 96% degli importi ammissibili deve essere erogato entro il 30 Giugno 201</w:t>
            </w:r>
            <w:r w:rsidR="007053B8">
              <w:rPr>
                <w:rFonts w:ascii="Times New Roman" w:hAnsi="Times New Roman"/>
                <w:sz w:val="20"/>
                <w:szCs w:val="20"/>
              </w:rPr>
              <w:t>9</w:t>
            </w:r>
          </w:p>
        </w:tc>
        <w:tc>
          <w:tcPr>
            <w:tcW w:w="1180" w:type="pct"/>
            <w:vAlign w:val="center"/>
          </w:tcPr>
          <w:p w:rsidR="008854D3" w:rsidRDefault="007053B8" w:rsidP="008854D3">
            <w:pPr>
              <w:tabs>
                <w:tab w:val="left" w:pos="287"/>
              </w:tabs>
              <w:spacing w:after="120"/>
              <w:rPr>
                <w:rFonts w:ascii="Times New Roman" w:hAnsi="Times New Roman"/>
                <w:sz w:val="20"/>
                <w:szCs w:val="20"/>
              </w:rPr>
            </w:pPr>
            <w:r>
              <w:rPr>
                <w:rFonts w:ascii="Times New Roman" w:hAnsi="Times New Roman"/>
                <w:sz w:val="20"/>
                <w:szCs w:val="20"/>
              </w:rPr>
              <w:t xml:space="preserve">Nell’anno 2018, è stato raggiunto il target del </w:t>
            </w:r>
            <w:r w:rsidR="008854D3">
              <w:rPr>
                <w:rFonts w:ascii="Times New Roman" w:hAnsi="Times New Roman"/>
                <w:sz w:val="20"/>
                <w:szCs w:val="20"/>
              </w:rPr>
              <w:t xml:space="preserve">96% </w:t>
            </w:r>
            <w:r>
              <w:rPr>
                <w:rFonts w:ascii="Times New Roman" w:hAnsi="Times New Roman"/>
                <w:sz w:val="20"/>
                <w:szCs w:val="20"/>
              </w:rPr>
              <w:t>fissato dai Regolamenti Comunitari</w:t>
            </w:r>
          </w:p>
        </w:tc>
      </w:tr>
      <w:tr w:rsidR="008854D3" w:rsidRPr="00E63330" w:rsidTr="008854D3">
        <w:trPr>
          <w:trHeight w:val="1425"/>
        </w:trPr>
        <w:tc>
          <w:tcPr>
            <w:tcW w:w="1459" w:type="pct"/>
            <w:shd w:val="clear" w:color="auto" w:fill="auto"/>
            <w:vAlign w:val="center"/>
          </w:tcPr>
          <w:p w:rsidR="008854D3" w:rsidRPr="00E63330" w:rsidRDefault="008854D3" w:rsidP="008854D3">
            <w:pPr>
              <w:tabs>
                <w:tab w:val="left" w:pos="287"/>
              </w:tabs>
              <w:spacing w:after="120"/>
              <w:jc w:val="both"/>
              <w:rPr>
                <w:rFonts w:ascii="Times New Roman" w:hAnsi="Times New Roman"/>
                <w:sz w:val="18"/>
                <w:szCs w:val="18"/>
              </w:rPr>
            </w:pPr>
            <w:r>
              <w:rPr>
                <w:rFonts w:ascii="Times New Roman" w:hAnsi="Times New Roman"/>
                <w:sz w:val="20"/>
                <w:szCs w:val="20"/>
              </w:rPr>
              <w:t xml:space="preserve">II.3.1 Possibilità per beneficiari e gli utenti di ARCEA di accedere ad almeno un’applicazione messa a disposizione dell’Agenzia </w:t>
            </w:r>
            <w:r>
              <w:rPr>
                <w:rFonts w:ascii="Times New Roman" w:hAnsi="Times New Roman"/>
                <w:sz w:val="20"/>
                <w:szCs w:val="20"/>
              </w:rPr>
              <w:lastRenderedPageBreak/>
              <w:t xml:space="preserve">tramite SPID </w:t>
            </w:r>
          </w:p>
        </w:tc>
        <w:tc>
          <w:tcPr>
            <w:tcW w:w="1181" w:type="pct"/>
            <w:shd w:val="clear" w:color="auto" w:fill="auto"/>
          </w:tcPr>
          <w:p w:rsidR="008854D3" w:rsidRPr="00E63330" w:rsidRDefault="008854D3" w:rsidP="008854D3">
            <w:pPr>
              <w:tabs>
                <w:tab w:val="left" w:pos="287"/>
              </w:tabs>
              <w:spacing w:after="120"/>
              <w:jc w:val="both"/>
              <w:rPr>
                <w:rFonts w:ascii="Times New Roman" w:hAnsi="Times New Roman"/>
                <w:sz w:val="18"/>
                <w:szCs w:val="18"/>
              </w:rPr>
            </w:pPr>
            <w:r>
              <w:rPr>
                <w:rFonts w:ascii="Times New Roman" w:hAnsi="Times New Roman"/>
                <w:sz w:val="20"/>
                <w:szCs w:val="20"/>
              </w:rPr>
              <w:lastRenderedPageBreak/>
              <w:t>Riscontrabile dai sistemi dell’Agenzia e dai registri dell’Agenzia per l’Italia Digitale</w:t>
            </w:r>
          </w:p>
        </w:tc>
        <w:tc>
          <w:tcPr>
            <w:tcW w:w="1180" w:type="pct"/>
            <w:shd w:val="clear" w:color="auto" w:fill="auto"/>
          </w:tcPr>
          <w:p w:rsidR="008854D3" w:rsidRDefault="008854D3" w:rsidP="003C3367">
            <w:pPr>
              <w:tabs>
                <w:tab w:val="left" w:pos="287"/>
              </w:tabs>
              <w:spacing w:after="120"/>
              <w:jc w:val="both"/>
              <w:rPr>
                <w:rFonts w:ascii="Times New Roman" w:hAnsi="Times New Roman"/>
                <w:sz w:val="18"/>
                <w:szCs w:val="18"/>
              </w:rPr>
            </w:pPr>
            <w:r>
              <w:rPr>
                <w:rFonts w:ascii="Times New Roman" w:hAnsi="Times New Roman"/>
                <w:sz w:val="20"/>
                <w:szCs w:val="20"/>
              </w:rPr>
              <w:t xml:space="preserve">Almeno un’applicazione messa a disposizione dell’Agenzia tramite SPID </w:t>
            </w:r>
          </w:p>
        </w:tc>
        <w:tc>
          <w:tcPr>
            <w:tcW w:w="1180" w:type="pct"/>
          </w:tcPr>
          <w:p w:rsidR="008854D3" w:rsidRDefault="008854D3" w:rsidP="008854D3">
            <w:pPr>
              <w:tabs>
                <w:tab w:val="left" w:pos="287"/>
              </w:tabs>
              <w:spacing w:after="120"/>
              <w:jc w:val="both"/>
              <w:rPr>
                <w:rFonts w:ascii="Times New Roman" w:hAnsi="Times New Roman"/>
                <w:sz w:val="20"/>
                <w:szCs w:val="20"/>
              </w:rPr>
            </w:pPr>
            <w:r>
              <w:rPr>
                <w:rFonts w:ascii="Times New Roman" w:hAnsi="Times New Roman"/>
                <w:sz w:val="20"/>
                <w:szCs w:val="20"/>
              </w:rPr>
              <w:t>Si tratta di una procedura di nuova attivazione</w:t>
            </w:r>
            <w:r w:rsidR="00862710">
              <w:rPr>
                <w:rFonts w:ascii="Times New Roman" w:hAnsi="Times New Roman"/>
                <w:sz w:val="20"/>
                <w:szCs w:val="20"/>
              </w:rPr>
              <w:t xml:space="preserve">. Non ci sono state precedenti rilevazioni. </w:t>
            </w:r>
          </w:p>
        </w:tc>
      </w:tr>
    </w:tbl>
    <w:p w:rsidR="008854D3" w:rsidRDefault="008854D3" w:rsidP="007B183D">
      <w:pPr>
        <w:autoSpaceDE w:val="0"/>
        <w:autoSpaceDN w:val="0"/>
        <w:adjustRightInd w:val="0"/>
        <w:spacing w:after="0"/>
        <w:rPr>
          <w:rFonts w:ascii="Times New Roman" w:hAnsi="Times New Roman"/>
          <w:b/>
          <w:sz w:val="24"/>
          <w:szCs w:val="24"/>
        </w:rPr>
      </w:pPr>
    </w:p>
    <w:p w:rsidR="008854D3" w:rsidRDefault="008854D3" w:rsidP="007B183D">
      <w:pPr>
        <w:autoSpaceDE w:val="0"/>
        <w:autoSpaceDN w:val="0"/>
        <w:adjustRightInd w:val="0"/>
        <w:spacing w:after="0"/>
        <w:rPr>
          <w:rFonts w:ascii="Times New Roman" w:hAnsi="Times New Roman"/>
          <w:b/>
          <w:sz w:val="24"/>
          <w:szCs w:val="24"/>
        </w:rPr>
      </w:pPr>
    </w:p>
    <w:p w:rsidR="00C15F42" w:rsidRDefault="0096592E" w:rsidP="007B183D">
      <w:pPr>
        <w:autoSpaceDE w:val="0"/>
        <w:autoSpaceDN w:val="0"/>
        <w:adjustRightInd w:val="0"/>
        <w:spacing w:after="0"/>
        <w:rPr>
          <w:rFonts w:ascii="Times New Roman" w:hAnsi="Times New Roman"/>
          <w:b/>
          <w:sz w:val="24"/>
          <w:szCs w:val="24"/>
        </w:rPr>
      </w:pPr>
      <w:r w:rsidRPr="003C3367">
        <w:rPr>
          <w:rFonts w:ascii="Times New Roman" w:hAnsi="Times New Roman"/>
          <w:b/>
          <w:sz w:val="24"/>
          <w:szCs w:val="24"/>
        </w:rPr>
        <w:t>B. Revisione Indicatori degli obiettivi operativi</w:t>
      </w:r>
    </w:p>
    <w:p w:rsidR="00F80F64" w:rsidRDefault="00F80F64" w:rsidP="007B183D">
      <w:pPr>
        <w:autoSpaceDE w:val="0"/>
        <w:autoSpaceDN w:val="0"/>
        <w:adjustRightInd w:val="0"/>
        <w:spacing w:after="0"/>
        <w:rPr>
          <w:rFonts w:ascii="Times New Roman" w:hAnsi="Times New Roman"/>
          <w:b/>
          <w:sz w:val="24"/>
          <w:szCs w:val="24"/>
        </w:rPr>
      </w:pPr>
    </w:p>
    <w:p w:rsidR="00F80F64" w:rsidRDefault="00F80F64" w:rsidP="007053B8">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Si riportano di seguito due tabelle nelle quali è fornita evidenza dell’attività di revisione degli indicatori degli obiettivi operativi. </w:t>
      </w:r>
    </w:p>
    <w:p w:rsidR="007053B8" w:rsidRDefault="007053B8" w:rsidP="007053B8">
      <w:pPr>
        <w:autoSpaceDE w:val="0"/>
        <w:autoSpaceDN w:val="0"/>
        <w:adjustRightInd w:val="0"/>
        <w:spacing w:after="0"/>
        <w:jc w:val="both"/>
        <w:rPr>
          <w:rFonts w:ascii="Times New Roman" w:hAnsi="Times New Roman"/>
          <w:sz w:val="24"/>
          <w:szCs w:val="24"/>
        </w:rPr>
      </w:pPr>
    </w:p>
    <w:p w:rsidR="007053B8" w:rsidRPr="007053B8" w:rsidRDefault="007053B8" w:rsidP="007053B8">
      <w:pPr>
        <w:autoSpaceDE w:val="0"/>
        <w:autoSpaceDN w:val="0"/>
        <w:adjustRightInd w:val="0"/>
        <w:spacing w:after="0"/>
        <w:jc w:val="both"/>
        <w:rPr>
          <w:rFonts w:ascii="Times New Roman" w:hAnsi="Times New Roman"/>
          <w:b/>
          <w:sz w:val="24"/>
          <w:szCs w:val="24"/>
        </w:rPr>
      </w:pPr>
      <w:r w:rsidRPr="007053B8">
        <w:rPr>
          <w:rFonts w:ascii="Times New Roman" w:hAnsi="Times New Roman"/>
          <w:b/>
          <w:sz w:val="24"/>
          <w:szCs w:val="24"/>
        </w:rPr>
        <w:t>B.1 Analisi degli indicatori operativi riportati nel Precedente Piano delle Performance</w:t>
      </w:r>
    </w:p>
    <w:p w:rsidR="00D15168" w:rsidRPr="00E63330" w:rsidRDefault="00D15168" w:rsidP="007B183D">
      <w:pPr>
        <w:autoSpaceDE w:val="0"/>
        <w:autoSpaceDN w:val="0"/>
        <w:adjustRightInd w:val="0"/>
        <w:spacing w:after="0"/>
        <w:rPr>
          <w:rFonts w:ascii="Times New Roman" w:hAnsi="Times New Roman"/>
          <w:b/>
          <w:sz w:val="24"/>
          <w:szCs w:val="24"/>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2325"/>
        <w:gridCol w:w="1929"/>
        <w:gridCol w:w="2095"/>
        <w:gridCol w:w="1333"/>
        <w:gridCol w:w="1525"/>
      </w:tblGrid>
      <w:tr w:rsidR="00365A6B" w:rsidRPr="00E63330" w:rsidTr="009F0B9F">
        <w:tc>
          <w:tcPr>
            <w:tcW w:w="0" w:type="auto"/>
            <w:vAlign w:val="center"/>
          </w:tcPr>
          <w:p w:rsidR="00E41FE1" w:rsidRPr="00E63330" w:rsidRDefault="0096592E" w:rsidP="009F0B9F">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OO</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Indicatore</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Fonte</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Target 30/06</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Dato rilevato al 30/06</w:t>
            </w:r>
          </w:p>
        </w:tc>
        <w:tc>
          <w:tcPr>
            <w:tcW w:w="0" w:type="auto"/>
            <w:vAlign w:val="center"/>
          </w:tcPr>
          <w:p w:rsidR="00E41FE1" w:rsidRPr="00E63330" w:rsidRDefault="0096592E" w:rsidP="009F0B9F">
            <w:pPr>
              <w:autoSpaceDE w:val="0"/>
              <w:autoSpaceDN w:val="0"/>
              <w:adjustRightInd w:val="0"/>
              <w:spacing w:after="0"/>
              <w:jc w:val="center"/>
              <w:rPr>
                <w:rFonts w:ascii="Times New Roman" w:hAnsi="Times New Roman"/>
                <w:sz w:val="24"/>
                <w:szCs w:val="24"/>
              </w:rPr>
            </w:pPr>
            <w:r w:rsidRPr="003C3367">
              <w:rPr>
                <w:rFonts w:ascii="Times New Roman" w:hAnsi="Times New Roman"/>
                <w:sz w:val="18"/>
                <w:szCs w:val="18"/>
              </w:rPr>
              <w:t>Azione richiesta</w:t>
            </w:r>
          </w:p>
        </w:tc>
      </w:tr>
      <w:tr w:rsidR="00365A6B" w:rsidRPr="00E63330" w:rsidTr="009F0B9F">
        <w:trPr>
          <w:trHeight w:val="1162"/>
        </w:trPr>
        <w:tc>
          <w:tcPr>
            <w:tcW w:w="0" w:type="auto"/>
            <w:vMerge w:val="restart"/>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1.1</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I1.1.1: Livello di maturità complessivo dell’ARCEA, riscontrato dall’Organismo di Certificazione (</w:t>
            </w:r>
            <w:r w:rsidRPr="003C3367">
              <w:rPr>
                <w:rFonts w:ascii="Times New Roman" w:hAnsi="Times New Roman"/>
                <w:sz w:val="18"/>
                <w:szCs w:val="18"/>
                <w:u w:val="single"/>
              </w:rPr>
              <w:t>peso 40%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 perché la reazione dell’Ente Certificatore è emessa a fine anno</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riscontrabile perché la reazione dell’Ente Certificatore è emessa a fine anno</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038"/>
        </w:trPr>
        <w:tc>
          <w:tcPr>
            <w:tcW w:w="0" w:type="auto"/>
            <w:vMerge/>
            <w:vAlign w:val="center"/>
          </w:tcPr>
          <w:p w:rsidR="00365A6B" w:rsidRPr="00E63330" w:rsidRDefault="00365A6B"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i/>
                <w:sz w:val="18"/>
                <w:szCs w:val="18"/>
              </w:rPr>
            </w:pPr>
            <w:r w:rsidRPr="003C3367">
              <w:rPr>
                <w:rFonts w:ascii="Times New Roman" w:hAnsi="Times New Roman"/>
                <w:sz w:val="18"/>
                <w:szCs w:val="18"/>
              </w:rPr>
              <w:t xml:space="preserve">I1.1.2: Incidenza spesa personale sulla spesa corrente (Indicatore di equilibrio economico-finanziario) </w:t>
            </w:r>
            <w:r w:rsidRPr="003C3367">
              <w:rPr>
                <w:rFonts w:ascii="Times New Roman" w:hAnsi="Times New Roman"/>
                <w:i/>
                <w:sz w:val="18"/>
                <w:szCs w:val="18"/>
              </w:rPr>
              <w:t>(Fonte: Piano degli indicatori e dei risultati attesi di bilancio)</w:t>
            </w:r>
            <w:r w:rsidRPr="003C3367">
              <w:rPr>
                <w:rFonts w:ascii="Times New Roman" w:hAnsi="Times New Roman"/>
                <w:sz w:val="18"/>
                <w:szCs w:val="18"/>
              </w:rPr>
              <w:t xml:space="preserve"> (</w:t>
            </w:r>
            <w:r w:rsidRPr="003C3367">
              <w:rPr>
                <w:rFonts w:ascii="Times New Roman" w:hAnsi="Times New Roman"/>
                <w:sz w:val="18"/>
                <w:szCs w:val="18"/>
                <w:u w:val="single"/>
              </w:rPr>
              <w:t>peso 15%</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Fonte: Piano degli indicatori e dei risultati attesi di bilancio</w:t>
            </w:r>
          </w:p>
          <w:p w:rsidR="00365A6B" w:rsidRPr="00E63330" w:rsidRDefault="00365A6B" w:rsidP="009F0B9F">
            <w:pPr>
              <w:tabs>
                <w:tab w:val="left" w:pos="287"/>
              </w:tabs>
              <w:spacing w:after="120"/>
              <w:jc w:val="center"/>
              <w:rPr>
                <w:rFonts w:ascii="Times New Roman" w:hAnsi="Times New Roman"/>
                <w:i/>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&lt;50% in relazione al 30 Giugno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403"/>
        </w:trPr>
        <w:tc>
          <w:tcPr>
            <w:tcW w:w="0" w:type="auto"/>
            <w:vMerge/>
            <w:vAlign w:val="center"/>
          </w:tcPr>
          <w:p w:rsidR="00365A6B" w:rsidRPr="00E63330" w:rsidRDefault="00365A6B"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i/>
                <w:sz w:val="18"/>
                <w:szCs w:val="18"/>
              </w:rPr>
            </w:pPr>
            <w:r w:rsidRPr="003C3367">
              <w:rPr>
                <w:rFonts w:ascii="Times New Roman" w:hAnsi="Times New Roman"/>
                <w:sz w:val="18"/>
                <w:szCs w:val="18"/>
              </w:rPr>
              <w:t xml:space="preserve">I1.1.3: Indicatore di realizzazione delle previsioni di competenza concernenti le entrate correnti </w:t>
            </w:r>
            <w:r w:rsidRPr="003C3367">
              <w:rPr>
                <w:rFonts w:ascii="Times New Roman" w:hAnsi="Times New Roman"/>
                <w:i/>
                <w:sz w:val="18"/>
                <w:szCs w:val="18"/>
              </w:rPr>
              <w:t>(Fonte: Piano degli indicatori e dei risultati attesi di bilancio)</w:t>
            </w:r>
            <w:r w:rsidR="00E74997">
              <w:rPr>
                <w:rFonts w:ascii="Times New Roman" w:hAnsi="Times New Roman"/>
                <w:i/>
                <w:sz w:val="18"/>
                <w:szCs w:val="18"/>
              </w:rPr>
              <w:t xml:space="preserve"> </w:t>
            </w:r>
            <w:r w:rsidRPr="003C3367">
              <w:rPr>
                <w:rFonts w:ascii="Times New Roman" w:hAnsi="Times New Roman"/>
                <w:sz w:val="18"/>
                <w:szCs w:val="18"/>
              </w:rPr>
              <w:t>(</w:t>
            </w:r>
            <w:r w:rsidRPr="003C3367">
              <w:rPr>
                <w:rFonts w:ascii="Times New Roman" w:hAnsi="Times New Roman"/>
                <w:sz w:val="18"/>
                <w:szCs w:val="18"/>
                <w:u w:val="single"/>
              </w:rPr>
              <w:t>peso 15%</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Piano degli indicatori e dei risultati attesi di bilancio</w:t>
            </w:r>
          </w:p>
          <w:p w:rsidR="00365A6B" w:rsidRPr="00E63330" w:rsidRDefault="00365A6B" w:rsidP="009F0B9F">
            <w:pPr>
              <w:tabs>
                <w:tab w:val="left" w:pos="287"/>
              </w:tabs>
              <w:spacing w:after="120"/>
              <w:jc w:val="center"/>
              <w:rPr>
                <w:rFonts w:ascii="Times New Roman" w:hAnsi="Times New Roman"/>
                <w:i/>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&lt;= 80% in relazione al 30 Giugno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396"/>
        </w:trPr>
        <w:tc>
          <w:tcPr>
            <w:tcW w:w="0" w:type="auto"/>
            <w:vMerge/>
            <w:vAlign w:val="center"/>
          </w:tcPr>
          <w:p w:rsidR="00365A6B" w:rsidRPr="00E63330" w:rsidRDefault="00365A6B"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i/>
                <w:sz w:val="18"/>
                <w:szCs w:val="18"/>
              </w:rPr>
            </w:pPr>
            <w:r w:rsidRPr="003C3367">
              <w:rPr>
                <w:rFonts w:ascii="Times New Roman" w:hAnsi="Times New Roman"/>
                <w:sz w:val="18"/>
                <w:szCs w:val="18"/>
              </w:rPr>
              <w:t xml:space="preserve">I1.1.4 Incidenza spese rigide (disavanzo, personale e debito) su entrate correnti </w:t>
            </w:r>
            <w:r w:rsidRPr="003C3367">
              <w:rPr>
                <w:rFonts w:ascii="Times New Roman" w:hAnsi="Times New Roman"/>
                <w:i/>
                <w:sz w:val="18"/>
                <w:szCs w:val="18"/>
              </w:rPr>
              <w:t>(Fonte: Piano degli indicatori e dei risultati attesi di bilancio)</w:t>
            </w:r>
            <w:r w:rsidR="00E74997">
              <w:rPr>
                <w:rFonts w:ascii="Times New Roman" w:hAnsi="Times New Roman"/>
                <w:i/>
                <w:sz w:val="18"/>
                <w:szCs w:val="18"/>
              </w:rPr>
              <w:t xml:space="preserve"> </w:t>
            </w:r>
            <w:r w:rsidRPr="003C3367">
              <w:rPr>
                <w:rFonts w:ascii="Times New Roman" w:hAnsi="Times New Roman"/>
                <w:sz w:val="18"/>
                <w:szCs w:val="18"/>
              </w:rPr>
              <w:t>(</w:t>
            </w:r>
            <w:r w:rsidRPr="003C3367">
              <w:rPr>
                <w:rFonts w:ascii="Times New Roman" w:hAnsi="Times New Roman"/>
                <w:sz w:val="18"/>
                <w:szCs w:val="18"/>
                <w:u w:val="single"/>
              </w:rPr>
              <w:t>peso 15%</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Piano degli indicatori e dei risultati attesi di bilancio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&lt; 50% in relazione al 30 Giugno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404"/>
        </w:trPr>
        <w:tc>
          <w:tcPr>
            <w:tcW w:w="0" w:type="auto"/>
            <w:vMerge/>
            <w:vAlign w:val="center"/>
          </w:tcPr>
          <w:p w:rsidR="00365A6B" w:rsidRPr="00E63330" w:rsidRDefault="00365A6B"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i/>
                <w:sz w:val="18"/>
                <w:szCs w:val="18"/>
              </w:rPr>
            </w:pPr>
            <w:r w:rsidRPr="003C3367">
              <w:rPr>
                <w:rFonts w:ascii="Times New Roman" w:hAnsi="Times New Roman"/>
                <w:sz w:val="18"/>
                <w:szCs w:val="18"/>
              </w:rPr>
              <w:t xml:space="preserve">I.1.1.5 Indicatore di smaltimento debiti commerciali Stanziamento di cassa </w:t>
            </w:r>
            <w:r w:rsidRPr="003C3367">
              <w:rPr>
                <w:rFonts w:ascii="Times New Roman" w:hAnsi="Times New Roman"/>
                <w:i/>
                <w:sz w:val="18"/>
                <w:szCs w:val="18"/>
              </w:rPr>
              <w:t>(Fonte: Piano degli indicatori e dei risultati attesi di bilancio) )</w:t>
            </w:r>
            <w:r w:rsidRPr="003C3367">
              <w:rPr>
                <w:rFonts w:ascii="Times New Roman" w:hAnsi="Times New Roman"/>
                <w:sz w:val="18"/>
                <w:szCs w:val="18"/>
              </w:rPr>
              <w:t>(</w:t>
            </w:r>
            <w:r w:rsidRPr="003C3367">
              <w:rPr>
                <w:rFonts w:ascii="Times New Roman" w:hAnsi="Times New Roman"/>
                <w:sz w:val="18"/>
                <w:szCs w:val="18"/>
                <w:u w:val="single"/>
              </w:rPr>
              <w:t>peso 15%</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Piano degli indicatori e dei risultati attesi di bilancio</w:t>
            </w:r>
          </w:p>
          <w:p w:rsidR="00365A6B" w:rsidRPr="00E63330" w:rsidRDefault="00365A6B" w:rsidP="009F0B9F">
            <w:pPr>
              <w:tabs>
                <w:tab w:val="left" w:pos="287"/>
              </w:tabs>
              <w:spacing w:after="120"/>
              <w:jc w:val="center"/>
              <w:rPr>
                <w:rFonts w:ascii="Times New Roman" w:hAnsi="Times New Roman"/>
                <w:i/>
                <w:sz w:val="18"/>
                <w:szCs w:val="18"/>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&lt;100% in relazione al 30 Giugno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115"/>
        </w:trPr>
        <w:tc>
          <w:tcPr>
            <w:tcW w:w="0" w:type="auto"/>
            <w:vMerge w:val="restart"/>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lastRenderedPageBreak/>
              <w:t>1.2</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I.1.2.1 Numero di controlli effettuati pari all’80% di quelli previsti nel piano dei controlli redatto dal Servizio Tecnico (</w:t>
            </w:r>
            <w:r w:rsidRPr="003C3367">
              <w:rPr>
                <w:rFonts w:ascii="Times New Roman" w:hAnsi="Times New Roman"/>
                <w:sz w:val="18"/>
                <w:szCs w:val="18"/>
                <w:u w:val="single"/>
              </w:rPr>
              <w:t>peso 40%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Riscontrabili dai verbali di controllo</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40%</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030"/>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I.1.2.2 Numero di Audit effettuati dal Servizio di Controllo Interno di quelli previsti dal Piano di Audit annuale) (</w:t>
            </w:r>
            <w:r w:rsidRPr="003C3367">
              <w:rPr>
                <w:rFonts w:ascii="Times New Roman" w:hAnsi="Times New Roman"/>
                <w:sz w:val="18"/>
                <w:szCs w:val="18"/>
                <w:u w:val="single"/>
              </w:rPr>
              <w:t>peso 40%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Riscontrabili dalle relazioni finali di Audit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Al 30 Giugno deve essere approvato con Decreto il Piano degli Audit che si svolgeranno nella seconda parte dell’anno</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Il Piano di Audit è stato approvato</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622"/>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I.1.2.3 Numero di aggiornamenti al </w:t>
            </w:r>
            <w:proofErr w:type="spellStart"/>
            <w:r w:rsidRPr="003C3367">
              <w:rPr>
                <w:rFonts w:ascii="Times New Roman" w:hAnsi="Times New Roman"/>
                <w:i/>
                <w:sz w:val="18"/>
                <w:szCs w:val="18"/>
              </w:rPr>
              <w:t>risk</w:t>
            </w:r>
            <w:proofErr w:type="spellEnd"/>
            <w:r w:rsidRPr="003C3367">
              <w:rPr>
                <w:rFonts w:ascii="Times New Roman" w:hAnsi="Times New Roman"/>
                <w:i/>
                <w:sz w:val="18"/>
                <w:szCs w:val="18"/>
              </w:rPr>
              <w:t xml:space="preserve"> </w:t>
            </w:r>
            <w:proofErr w:type="spellStart"/>
            <w:r w:rsidRPr="003C3367">
              <w:rPr>
                <w:rFonts w:ascii="Times New Roman" w:hAnsi="Times New Roman"/>
                <w:i/>
                <w:sz w:val="18"/>
                <w:szCs w:val="18"/>
              </w:rPr>
              <w:t>assessment</w:t>
            </w:r>
            <w:proofErr w:type="spellEnd"/>
            <w:r w:rsidRPr="003C3367">
              <w:rPr>
                <w:rFonts w:ascii="Times New Roman" w:hAnsi="Times New Roman"/>
                <w:sz w:val="18"/>
                <w:szCs w:val="18"/>
              </w:rPr>
              <w:t xml:space="preserve"> (</w:t>
            </w:r>
            <w:r w:rsidRPr="003C3367">
              <w:rPr>
                <w:rFonts w:ascii="Times New Roman" w:hAnsi="Times New Roman"/>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Riscontrabili dai relativi decreti d’approvazione</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Al 30 Giugno deve essere approvato con Decreto il Piano degli Audit da cui scaturiscono le attività di revisione del </w:t>
            </w:r>
            <w:proofErr w:type="spellStart"/>
            <w:r w:rsidRPr="003C3367">
              <w:rPr>
                <w:rFonts w:ascii="Times New Roman" w:hAnsi="Times New Roman"/>
                <w:sz w:val="18"/>
                <w:szCs w:val="18"/>
              </w:rPr>
              <w:t>risk</w:t>
            </w:r>
            <w:proofErr w:type="spellEnd"/>
            <w:r w:rsidRPr="003C3367">
              <w:rPr>
                <w:rFonts w:ascii="Times New Roman" w:hAnsi="Times New Roman"/>
                <w:sz w:val="18"/>
                <w:szCs w:val="18"/>
              </w:rPr>
              <w:t xml:space="preserve"> </w:t>
            </w:r>
            <w:proofErr w:type="spellStart"/>
            <w:r w:rsidRPr="003C3367">
              <w:rPr>
                <w:rFonts w:ascii="Times New Roman" w:hAnsi="Times New Roman"/>
                <w:sz w:val="18"/>
                <w:szCs w:val="18"/>
              </w:rPr>
              <w:t>assessment</w:t>
            </w:r>
            <w:proofErr w:type="spellEnd"/>
            <w:r w:rsidRPr="003C3367">
              <w:rPr>
                <w:rFonts w:ascii="Times New Roman" w:hAnsi="Times New Roman"/>
                <w:sz w:val="18"/>
                <w:szCs w:val="18"/>
              </w:rPr>
              <w:t>, che si svolgeranno nella seconda parte dell’anno</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Il Piano di Audit è stato approvato</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281"/>
        </w:trPr>
        <w:tc>
          <w:tcPr>
            <w:tcW w:w="0" w:type="auto"/>
            <w:vMerge w:val="restart"/>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1.3</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I.1.3.1 Numero di documenti prodotti e di riscontri inviati rispetto a richieste ufficiali di dati o ad indagini dei Servizi della Commissione, della Corte dei Conti o di altra Istituzione europea </w:t>
            </w:r>
            <w:r w:rsidRPr="003C3367">
              <w:rPr>
                <w:rFonts w:ascii="Times New Roman" w:hAnsi="Times New Roman"/>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Riscontrabili dal protocollo dell'Ente</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=100% rispetto a quelli da produrre entro il 30/06/2018</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981"/>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I.1.3.2 Numero di azioni di monitoraggio del Registro debitori </w:t>
            </w:r>
            <w:r w:rsidRPr="003C3367">
              <w:rPr>
                <w:rFonts w:ascii="Times New Roman" w:hAnsi="Times New Roman"/>
                <w:sz w:val="18"/>
                <w:szCs w:val="18"/>
                <w:u w:val="single"/>
              </w:rPr>
              <w:t>(Peso 30%)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numPr>
                <w:ilvl w:val="0"/>
                <w:numId w:val="35"/>
              </w:numPr>
              <w:tabs>
                <w:tab w:val="left" w:pos="287"/>
              </w:tabs>
              <w:spacing w:after="120"/>
              <w:ind w:left="287" w:hanging="287"/>
              <w:jc w:val="center"/>
              <w:rPr>
                <w:rFonts w:ascii="Times New Roman" w:hAnsi="Times New Roman"/>
                <w:sz w:val="18"/>
                <w:szCs w:val="18"/>
              </w:rPr>
            </w:pPr>
            <w:r w:rsidRPr="003C3367">
              <w:rPr>
                <w:rFonts w:ascii="Times New Roman" w:hAnsi="Times New Roman"/>
                <w:i/>
                <w:sz w:val="18"/>
                <w:szCs w:val="18"/>
              </w:rPr>
              <w:t>Riscontrabili dall’archivio della Funzione Contabilizzazione</w:t>
            </w:r>
          </w:p>
        </w:tc>
        <w:tc>
          <w:tcPr>
            <w:tcW w:w="0" w:type="auto"/>
            <w:shd w:val="clear" w:color="auto" w:fill="auto"/>
            <w:vAlign w:val="center"/>
          </w:tcPr>
          <w:p w:rsidR="00E41FE1" w:rsidRPr="00E63330" w:rsidRDefault="0096592E" w:rsidP="009F0B9F">
            <w:pPr>
              <w:numPr>
                <w:ilvl w:val="0"/>
                <w:numId w:val="35"/>
              </w:numPr>
              <w:tabs>
                <w:tab w:val="left" w:pos="287"/>
              </w:tabs>
              <w:spacing w:after="120"/>
              <w:ind w:left="287" w:hanging="287"/>
              <w:jc w:val="center"/>
              <w:rPr>
                <w:rFonts w:ascii="Times New Roman" w:hAnsi="Times New Roman"/>
                <w:sz w:val="18"/>
                <w:szCs w:val="18"/>
              </w:rPr>
            </w:pPr>
            <w:r w:rsidRPr="003C3367">
              <w:rPr>
                <w:rFonts w:ascii="Times New Roman" w:hAnsi="Times New Roman"/>
                <w:sz w:val="18"/>
                <w:szCs w:val="18"/>
              </w:rPr>
              <w:t>&gt;=2</w:t>
            </w:r>
          </w:p>
        </w:tc>
        <w:tc>
          <w:tcPr>
            <w:tcW w:w="0" w:type="auto"/>
            <w:shd w:val="clear" w:color="auto" w:fill="auto"/>
            <w:vAlign w:val="center"/>
          </w:tcPr>
          <w:p w:rsidR="00E41FE1" w:rsidRPr="00E63330" w:rsidRDefault="0096592E" w:rsidP="009F0B9F">
            <w:pPr>
              <w:numPr>
                <w:ilvl w:val="0"/>
                <w:numId w:val="35"/>
              </w:numPr>
              <w:tabs>
                <w:tab w:val="left" w:pos="287"/>
              </w:tabs>
              <w:spacing w:after="120"/>
              <w:ind w:left="287" w:hanging="287"/>
              <w:jc w:val="center"/>
              <w:rPr>
                <w:rFonts w:ascii="Times New Roman" w:hAnsi="Times New Roman"/>
                <w:sz w:val="18"/>
                <w:szCs w:val="18"/>
              </w:rPr>
            </w:pPr>
            <w:r w:rsidRPr="003C3367">
              <w:rPr>
                <w:rFonts w:ascii="Times New Roman" w:hAnsi="Times New Roman"/>
                <w:sz w:val="18"/>
                <w:szCs w:val="18"/>
              </w:rPr>
              <w:t>2</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2371"/>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I.1.3.3 Numero di richieste di restituzione di pagamenti indebiti derivanti da irregolarità inviate entro 18 mesi dal ricevimento da parte dell'organismo pagatore di una relazione di controllo o documento analogo, che indichi che vi è stata un'irregolarità, ai sensi dell’art. 54 del Reg. (UE) n. 1306/2013. </w:t>
            </w:r>
            <w:r w:rsidRPr="003C3367">
              <w:rPr>
                <w:rFonts w:ascii="Times New Roman" w:hAnsi="Times New Roman"/>
                <w:sz w:val="18"/>
                <w:szCs w:val="18"/>
                <w:u w:val="single"/>
              </w:rPr>
              <w:t>(Peso 30%).</w:t>
            </w:r>
          </w:p>
        </w:tc>
        <w:tc>
          <w:tcPr>
            <w:tcW w:w="0" w:type="auto"/>
            <w:shd w:val="clear" w:color="auto" w:fill="auto"/>
            <w:vAlign w:val="center"/>
          </w:tcPr>
          <w:p w:rsidR="00E41FE1" w:rsidRPr="00E63330" w:rsidRDefault="0096592E" w:rsidP="009F0B9F">
            <w:pPr>
              <w:numPr>
                <w:ilvl w:val="0"/>
                <w:numId w:val="35"/>
              </w:numPr>
              <w:tabs>
                <w:tab w:val="left" w:pos="287"/>
              </w:tabs>
              <w:spacing w:after="120"/>
              <w:ind w:left="287" w:hanging="287"/>
              <w:jc w:val="center"/>
              <w:rPr>
                <w:rFonts w:ascii="Times New Roman" w:hAnsi="Times New Roman"/>
                <w:sz w:val="18"/>
                <w:szCs w:val="18"/>
              </w:rPr>
            </w:pPr>
            <w:r w:rsidRPr="003C3367">
              <w:rPr>
                <w:rFonts w:ascii="Times New Roman" w:hAnsi="Times New Roman"/>
                <w:i/>
                <w:sz w:val="18"/>
                <w:szCs w:val="18"/>
              </w:rPr>
              <w:t>Riscontrabili dal Protocollo dell’Ente</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100% rispetto alla scadenza del 30 Giugno</w:t>
            </w:r>
          </w:p>
        </w:tc>
        <w:tc>
          <w:tcPr>
            <w:tcW w:w="0" w:type="auto"/>
            <w:shd w:val="clear" w:color="auto" w:fill="auto"/>
            <w:vAlign w:val="center"/>
          </w:tcPr>
          <w:p w:rsidR="00E41FE1" w:rsidRPr="00E63330" w:rsidRDefault="0096592E" w:rsidP="009F0B9F">
            <w:pPr>
              <w:tabs>
                <w:tab w:val="left" w:pos="287"/>
              </w:tabs>
              <w:spacing w:after="120"/>
              <w:ind w:left="287"/>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944"/>
        </w:trPr>
        <w:tc>
          <w:tcPr>
            <w:tcW w:w="0" w:type="auto"/>
            <w:vMerge/>
            <w:vAlign w:val="center"/>
          </w:tcPr>
          <w:p w:rsidR="00365A6B" w:rsidRPr="00E63330" w:rsidRDefault="00365A6B" w:rsidP="009F0B9F">
            <w:pPr>
              <w:tabs>
                <w:tab w:val="left" w:pos="287"/>
              </w:tabs>
              <w:spacing w:after="120"/>
              <w:jc w:val="center"/>
              <w:rPr>
                <w:rFonts w:ascii="Times New Roman" w:hAnsi="Times New Roman"/>
                <w:sz w:val="18"/>
                <w:szCs w:val="18"/>
                <w:highlight w:val="lightGray"/>
              </w:rPr>
            </w:pP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I.1.3.4 Numero di Piani d’azione, in fase di audit, implementati nel periodo di riferimento dalle Funzioni/OODD (&gt;=60%) (Riscontrabili dalle 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 (</w:t>
            </w:r>
            <w:r w:rsidRPr="003C3367">
              <w:rPr>
                <w:rFonts w:ascii="Times New Roman" w:hAnsi="Times New Roman"/>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Riscontrabili dalle 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highlight w:val="lightGray"/>
              </w:rPr>
            </w:pPr>
            <w:r w:rsidRPr="003C3367">
              <w:rPr>
                <w:rFonts w:ascii="Times New Roman" w:hAnsi="Times New Roman"/>
                <w:sz w:val="18"/>
                <w:szCs w:val="18"/>
              </w:rPr>
              <w:t>&gt;=60% in proporzione al 30 Giugno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c>
          <w:tcPr>
            <w:tcW w:w="0" w:type="auto"/>
            <w:vAlign w:val="center"/>
          </w:tcPr>
          <w:p w:rsidR="00365A6B"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1.4</w:t>
            </w:r>
          </w:p>
        </w:tc>
        <w:tc>
          <w:tcPr>
            <w:tcW w:w="0" w:type="auto"/>
            <w:shd w:val="clear" w:color="auto" w:fill="auto"/>
            <w:vAlign w:val="center"/>
          </w:tcPr>
          <w:p w:rsidR="00365A6B" w:rsidRPr="00E63330" w:rsidRDefault="0096592E" w:rsidP="009F0B9F">
            <w:pPr>
              <w:autoSpaceDE w:val="0"/>
              <w:autoSpaceDN w:val="0"/>
              <w:adjustRightInd w:val="0"/>
              <w:spacing w:after="0"/>
              <w:jc w:val="center"/>
              <w:rPr>
                <w:rFonts w:ascii="Times New Roman" w:hAnsi="Times New Roman"/>
                <w:sz w:val="24"/>
                <w:szCs w:val="24"/>
              </w:rPr>
            </w:pPr>
            <w:r w:rsidRPr="003C3367">
              <w:rPr>
                <w:rFonts w:ascii="Times New Roman" w:hAnsi="Times New Roman"/>
                <w:sz w:val="18"/>
                <w:szCs w:val="18"/>
              </w:rPr>
              <w:t>I.1.4.1 Numero di domini della ISO 27002 per i quali i Sistema Informativo dell’ARCEA è ritenuto sufficientemente adeguato(</w:t>
            </w:r>
            <w:r w:rsidRPr="003C3367">
              <w:rPr>
                <w:rFonts w:ascii="Times New Roman" w:hAnsi="Times New Roman"/>
                <w:sz w:val="18"/>
                <w:szCs w:val="18"/>
                <w:u w:val="single"/>
              </w:rPr>
              <w:t>peso 100%</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365A6B"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Non riscontrabile perché la reazione dell’Ente Certificatore è emessa a fine anno</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Nessuna azione rispetto al target. L’Indicatore è stato spostato, insieme al suo obiettivo </w:t>
            </w:r>
            <w:r w:rsidRPr="003C3367">
              <w:rPr>
                <w:rFonts w:ascii="Times New Roman" w:hAnsi="Times New Roman"/>
                <w:sz w:val="18"/>
                <w:szCs w:val="18"/>
              </w:rPr>
              <w:lastRenderedPageBreak/>
              <w:t>operativo, nell’obiettivo strategico 3.</w:t>
            </w:r>
          </w:p>
        </w:tc>
      </w:tr>
      <w:tr w:rsidR="00365A6B" w:rsidRPr="00E63330" w:rsidTr="003C3367">
        <w:trPr>
          <w:trHeight w:val="1088"/>
        </w:trPr>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lastRenderedPageBreak/>
              <w:t>1.5</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I.1.5.1 </w:t>
            </w:r>
            <w:r w:rsidRPr="003C3367">
              <w:rPr>
                <w:rFonts w:ascii="Times New Roman" w:hAnsi="Times New Roman"/>
                <w:color w:val="000000"/>
                <w:sz w:val="18"/>
                <w:szCs w:val="18"/>
              </w:rPr>
              <w:t xml:space="preserve">Percentuale di ulteriori Misure Di Prevenzione della Corruzione attuate rispetto a quanto previsto nel Piano Anticorruzione </w:t>
            </w:r>
            <w:r w:rsidRPr="003C3367">
              <w:rPr>
                <w:rFonts w:ascii="Times New Roman" w:hAnsi="Times New Roman"/>
                <w:sz w:val="18"/>
                <w:szCs w:val="18"/>
              </w:rPr>
              <w:t>(</w:t>
            </w:r>
            <w:r w:rsidRPr="003C3367">
              <w:rPr>
                <w:rFonts w:ascii="Times New Roman" w:hAnsi="Times New Roman"/>
                <w:sz w:val="18"/>
                <w:szCs w:val="18"/>
                <w:u w:val="single"/>
              </w:rPr>
              <w:t>peso 100%</w:t>
            </w:r>
            <w:r w:rsidRPr="003C3367">
              <w:rPr>
                <w:rFonts w:ascii="Times New Roman" w:hAnsi="Times New Roman"/>
                <w:sz w:val="18"/>
                <w:szCs w:val="18"/>
              </w:rPr>
              <w:t>);</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rsidR="00365A6B"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&gt;=80% in relazione alle scadenza fissate al 30 Giugno</w:t>
            </w:r>
          </w:p>
        </w:tc>
        <w:tc>
          <w:tcPr>
            <w:tcW w:w="0" w:type="auto"/>
            <w:shd w:val="clear" w:color="auto" w:fill="auto"/>
            <w:vAlign w:val="center"/>
          </w:tcPr>
          <w:p w:rsidR="00365A6B" w:rsidRPr="00E63330" w:rsidRDefault="0096592E" w:rsidP="00862710">
            <w:pPr>
              <w:tabs>
                <w:tab w:val="left" w:pos="287"/>
              </w:tabs>
              <w:spacing w:after="120"/>
              <w:ind w:left="287"/>
              <w:jc w:val="center"/>
              <w:rPr>
                <w:rFonts w:ascii="Times New Roman" w:hAnsi="Times New Roman"/>
                <w:sz w:val="18"/>
                <w:szCs w:val="18"/>
              </w:rPr>
            </w:pPr>
            <w:r w:rsidRPr="003C3367">
              <w:rPr>
                <w:rFonts w:ascii="Times New Roman" w:hAnsi="Times New Roman"/>
                <w:color w:val="000000"/>
                <w:sz w:val="18"/>
                <w:szCs w:val="18"/>
              </w:rPr>
              <w:t>70%</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3C3367">
        <w:trPr>
          <w:trHeight w:val="900"/>
        </w:trPr>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1.6</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Riscontrabile dalle fonti indicate per ogni indicatore nel PPCT</w:t>
            </w:r>
          </w:p>
        </w:tc>
        <w:tc>
          <w:tcPr>
            <w:tcW w:w="0" w:type="auto"/>
            <w:shd w:val="clear" w:color="auto" w:fill="auto"/>
            <w:vAlign w:val="center"/>
          </w:tcPr>
          <w:p w:rsidR="00365A6B"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 di quanto indicato negli indicatori riportati nel PPCT rispetto alla data del 30 Giugno</w:t>
            </w:r>
          </w:p>
        </w:tc>
        <w:tc>
          <w:tcPr>
            <w:tcW w:w="0" w:type="auto"/>
            <w:shd w:val="clear" w:color="auto" w:fill="auto"/>
            <w:vAlign w:val="center"/>
          </w:tcPr>
          <w:p w:rsidR="00365A6B"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70%</w:t>
            </w:r>
          </w:p>
        </w:tc>
        <w:tc>
          <w:tcPr>
            <w:tcW w:w="0" w:type="auto"/>
            <w:vAlign w:val="center"/>
          </w:tcPr>
          <w:p w:rsidR="00365A6B"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Nessuna azione</w:t>
            </w:r>
          </w:p>
        </w:tc>
      </w:tr>
      <w:tr w:rsidR="00365A6B" w:rsidRPr="00E63330" w:rsidTr="009F0B9F">
        <w:trPr>
          <w:trHeight w:val="1360"/>
        </w:trPr>
        <w:tc>
          <w:tcPr>
            <w:tcW w:w="0" w:type="auto"/>
            <w:vMerge w:val="restart"/>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2.1</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I.2.1.1 Numero di Circolari / Istruzioni operative / Manuali operativi adottati dalle Funzioni coinvolte (</w:t>
            </w:r>
            <w:r w:rsidRPr="003C3367">
              <w:rPr>
                <w:rFonts w:ascii="Times New Roman" w:hAnsi="Times New Roman"/>
                <w:sz w:val="18"/>
                <w:szCs w:val="18"/>
                <w:u w:val="single"/>
              </w:rPr>
              <w:t>Peso 30%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Riscontrabili dal Registro dei Decreti, dal Protocollo dell’Ente</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&gt;=5</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8</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rimodulato</w:t>
            </w:r>
          </w:p>
        </w:tc>
      </w:tr>
      <w:tr w:rsidR="00365A6B" w:rsidRPr="00E63330" w:rsidTr="009F0B9F">
        <w:trPr>
          <w:trHeight w:val="1082"/>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I.2.1.2 Numero di nullaosta al pagamento rilasciati per i Decreti relativi ai fondi FEAGA e FEASR (Peso 25%);</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Riscontrabili dall’archivio dell’Ufficio Contenzioso Comunitario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 in relazione rispetto ai Decreti al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704"/>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I.2.1.3 Percentuale di polizze svincolate dalla Funzione Esecuzione Pagamenti (</w:t>
            </w:r>
            <w:r w:rsidRPr="003C3367">
              <w:rPr>
                <w:rFonts w:ascii="Times New Roman" w:hAnsi="Times New Roman"/>
                <w:i/>
                <w:sz w:val="18"/>
                <w:szCs w:val="18"/>
              </w:rPr>
              <w:t>Riscontrabile dal sistema SIAN)</w:t>
            </w:r>
            <w:r w:rsidRPr="003C3367">
              <w:rPr>
                <w:rFonts w:ascii="Times New Roman" w:hAnsi="Times New Roman"/>
                <w:sz w:val="18"/>
                <w:szCs w:val="18"/>
              </w:rPr>
              <w:t>) (</w:t>
            </w:r>
            <w:r w:rsidRPr="003C3367">
              <w:rPr>
                <w:rFonts w:ascii="Times New Roman" w:hAnsi="Times New Roman"/>
                <w:sz w:val="18"/>
                <w:szCs w:val="18"/>
                <w:u w:val="single"/>
              </w:rPr>
              <w:t>Peso 25%</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Riscontrabile dal sistema SIAN</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90%in relazione alle determinazioni di autorizzazione allo svincolo elaborate dalla Funzione Autorizzazione Pagamenti</w:t>
            </w:r>
            <w:r w:rsidR="00AD0FFB">
              <w:rPr>
                <w:rFonts w:ascii="Times New Roman" w:hAnsi="Times New Roman"/>
                <w:sz w:val="18"/>
                <w:szCs w:val="18"/>
              </w:rPr>
              <w:t xml:space="preserve"> </w:t>
            </w:r>
            <w:r w:rsidRPr="003C3367">
              <w:rPr>
                <w:rFonts w:ascii="Times New Roman" w:hAnsi="Times New Roman"/>
                <w:sz w:val="18"/>
                <w:szCs w:val="18"/>
              </w:rPr>
              <w:t>rispetto al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90%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266"/>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I.2.1.4 Percentuale di pagamenti riaccreditati ai fondi di pertinenza rispetto al totale dei pagamenti non andati a buon fine e rientrati sul conto transitorio (</w:t>
            </w:r>
            <w:r w:rsidRPr="003C3367">
              <w:rPr>
                <w:rFonts w:ascii="Times New Roman" w:hAnsi="Times New Roman"/>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Riscontrabile dal Sistema SIAN</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80%</w:t>
            </w:r>
            <w:r w:rsidRPr="003C3367">
              <w:rPr>
                <w:rFonts w:ascii="Times New Roman" w:hAnsi="Times New Roman"/>
                <w:i/>
                <w:sz w:val="18"/>
                <w:szCs w:val="18"/>
              </w:rPr>
              <w:t xml:space="preserve"> rispetto alla scadenza del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160"/>
        </w:trPr>
        <w:tc>
          <w:tcPr>
            <w:tcW w:w="0" w:type="auto"/>
            <w:vMerge w:val="restart"/>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2.2</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I.2.2.1 Percentuale di pagamenti complessivi autorizzati rispetto alle domande presentate per il Fondo FEAGA ed agli elenchi trasmessi dal Dipartimento Agricoltura della Regione Calabria per il Fondo FEASR (</w:t>
            </w:r>
            <w:r w:rsidRPr="003C3367">
              <w:rPr>
                <w:rFonts w:ascii="Times New Roman" w:hAnsi="Times New Roman"/>
                <w:sz w:val="18"/>
                <w:szCs w:val="18"/>
                <w:u w:val="single"/>
              </w:rPr>
              <w:t>Peso 25%</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Riscontrabile a sistema SIAN</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xml:space="preserve">&gt;= 80% </w:t>
            </w:r>
            <w:r w:rsidRPr="003C3367">
              <w:rPr>
                <w:rFonts w:ascii="Times New Roman" w:hAnsi="Times New Roman"/>
                <w:i/>
                <w:sz w:val="18"/>
                <w:szCs w:val="18"/>
              </w:rPr>
              <w:t>rispetto alla scadenza del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158"/>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 xml:space="preserve">I.2.2.2 Percentuale di pagamenti complessivi trasmessi in banca rispetto a quelli autorizzati per il Fondo FEAGA e FEASR </w:t>
            </w:r>
            <w:r w:rsidRPr="003C3367">
              <w:rPr>
                <w:rFonts w:ascii="Times New Roman" w:hAnsi="Times New Roman"/>
                <w:sz w:val="18"/>
                <w:szCs w:val="18"/>
              </w:rPr>
              <w:lastRenderedPageBreak/>
              <w:t>(</w:t>
            </w:r>
            <w:r w:rsidRPr="003C3367">
              <w:rPr>
                <w:rFonts w:ascii="Times New Roman" w:hAnsi="Times New Roman"/>
                <w:sz w:val="18"/>
                <w:szCs w:val="18"/>
                <w:u w:val="single"/>
              </w:rPr>
              <w:t>Peso 25%</w:t>
            </w:r>
            <w:r w:rsidRPr="003C3367">
              <w:rPr>
                <w:rFonts w:ascii="Times New Roman" w:hAnsi="Times New Roman"/>
                <w:sz w:val="18"/>
                <w:szCs w:val="18"/>
              </w:rPr>
              <w:t>)</w:t>
            </w:r>
            <w:r w:rsidRPr="003C3367">
              <w:rPr>
                <w:rFonts w:ascii="Times New Roman" w:hAnsi="Times New Roman"/>
                <w:sz w:val="18"/>
                <w:szCs w:val="18"/>
                <w:u w:val="single"/>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lastRenderedPageBreak/>
              <w:t>Riscontrabile a sistema SIAN</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xml:space="preserve">&gt;= 80% </w:t>
            </w:r>
            <w:r w:rsidRPr="003C3367">
              <w:rPr>
                <w:rFonts w:ascii="Times New Roman" w:hAnsi="Times New Roman"/>
                <w:i/>
                <w:sz w:val="18"/>
                <w:szCs w:val="18"/>
              </w:rPr>
              <w:t>rispetto alla scadenza del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158"/>
        </w:trPr>
        <w:tc>
          <w:tcPr>
            <w:tcW w:w="0" w:type="auto"/>
            <w:vMerge/>
            <w:vAlign w:val="center"/>
          </w:tcPr>
          <w:p w:rsidR="00E41FE1" w:rsidRPr="00E63330" w:rsidRDefault="00E41FE1" w:rsidP="009F0B9F">
            <w:pPr>
              <w:tabs>
                <w:tab w:val="left" w:pos="287"/>
              </w:tabs>
              <w:spacing w:after="120"/>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I.2.2.3 Percentuale di pagamenti contabilizzati correttamente entro l’esercizio finanziario rispetto a quelli eseguiti per i fondi FEAGA e FEASR nello stesso periodo (</w:t>
            </w:r>
            <w:r w:rsidRPr="003C3367">
              <w:rPr>
                <w:rFonts w:ascii="Times New Roman" w:hAnsi="Times New Roman"/>
                <w:sz w:val="18"/>
                <w:szCs w:val="18"/>
                <w:u w:val="single"/>
              </w:rPr>
              <w:t>Peso 25%</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Riscontrabile dal sistema SIAN</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 xml:space="preserve">&gt;= 80% </w:t>
            </w:r>
            <w:r w:rsidRPr="003C3367">
              <w:rPr>
                <w:rFonts w:ascii="Times New Roman" w:hAnsi="Times New Roman"/>
                <w:i/>
                <w:sz w:val="18"/>
                <w:szCs w:val="18"/>
              </w:rPr>
              <w:t>rispetto alla scadenza del 30 Giugno</w:t>
            </w:r>
          </w:p>
        </w:tc>
        <w:tc>
          <w:tcPr>
            <w:tcW w:w="0" w:type="auto"/>
            <w:shd w:val="clear" w:color="auto" w:fill="auto"/>
            <w:vAlign w:val="center"/>
          </w:tcPr>
          <w:p w:rsidR="00E41FE1" w:rsidRPr="00E63330" w:rsidRDefault="0096592E" w:rsidP="009F0B9F">
            <w:pPr>
              <w:tabs>
                <w:tab w:val="left" w:pos="287"/>
              </w:tabs>
              <w:spacing w:after="120"/>
              <w:ind w:left="287"/>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rPr>
          <w:trHeight w:val="1158"/>
        </w:trPr>
        <w:tc>
          <w:tcPr>
            <w:tcW w:w="0" w:type="auto"/>
            <w:vMerge/>
            <w:vAlign w:val="center"/>
          </w:tcPr>
          <w:p w:rsidR="00E41FE1" w:rsidRPr="00E63330" w:rsidRDefault="00E41FE1" w:rsidP="009F0B9F">
            <w:pPr>
              <w:jc w:val="center"/>
              <w:rPr>
                <w:rFonts w:ascii="Times New Roman" w:hAnsi="Times New Roman"/>
                <w:sz w:val="18"/>
                <w:szCs w:val="18"/>
              </w:rPr>
            </w:pPr>
          </w:p>
        </w:tc>
        <w:tc>
          <w:tcPr>
            <w:tcW w:w="0" w:type="auto"/>
            <w:shd w:val="clear" w:color="auto" w:fill="auto"/>
            <w:vAlign w:val="center"/>
          </w:tcPr>
          <w:p w:rsidR="00E41FE1" w:rsidRPr="00E63330" w:rsidRDefault="0096592E" w:rsidP="009F0B9F">
            <w:pPr>
              <w:jc w:val="center"/>
              <w:rPr>
                <w:rFonts w:ascii="Times New Roman" w:hAnsi="Times New Roman"/>
                <w:sz w:val="18"/>
                <w:szCs w:val="18"/>
              </w:rPr>
            </w:pPr>
            <w:r w:rsidRPr="003C3367">
              <w:rPr>
                <w:rFonts w:ascii="Times New Roman" w:hAnsi="Times New Roman"/>
                <w:sz w:val="18"/>
                <w:szCs w:val="18"/>
              </w:rPr>
              <w:t>I.2.2.4 Percentuale di debiti iscritti nel registro debitori rispetto a quelli sorti nello stesso periodo, ricavabili da Decreti di revoca della Regione Calabria o da atti di delibazione dell’Ufficio Contenzioso Comunitario (</w:t>
            </w:r>
            <w:r w:rsidRPr="003C3367">
              <w:rPr>
                <w:rFonts w:ascii="Times New Roman" w:hAnsi="Times New Roman"/>
                <w:sz w:val="18"/>
                <w:szCs w:val="18"/>
                <w:u w:val="single"/>
              </w:rPr>
              <w:t>Peso 25%</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jc w:val="center"/>
              <w:rPr>
                <w:rFonts w:ascii="Times New Roman" w:hAnsi="Times New Roman"/>
                <w:sz w:val="18"/>
                <w:szCs w:val="18"/>
              </w:rPr>
            </w:pPr>
            <w:r w:rsidRPr="003C3367">
              <w:rPr>
                <w:rFonts w:ascii="Times New Roman" w:hAnsi="Times New Roman"/>
                <w:sz w:val="18"/>
                <w:szCs w:val="18"/>
              </w:rPr>
              <w:t>Riscontrabili dal sistema SIAN e dal protocollo ARCEA</w:t>
            </w:r>
          </w:p>
        </w:tc>
        <w:tc>
          <w:tcPr>
            <w:tcW w:w="0" w:type="auto"/>
            <w:shd w:val="clear" w:color="auto" w:fill="auto"/>
            <w:vAlign w:val="center"/>
          </w:tcPr>
          <w:p w:rsidR="00E41FE1" w:rsidRPr="00E63330" w:rsidRDefault="0096592E" w:rsidP="009F0B9F">
            <w:pPr>
              <w:jc w:val="center"/>
              <w:rPr>
                <w:rFonts w:ascii="Times New Roman" w:hAnsi="Times New Roman"/>
                <w:sz w:val="18"/>
                <w:szCs w:val="18"/>
              </w:rPr>
            </w:pPr>
            <w:r w:rsidRPr="003C3367">
              <w:rPr>
                <w:rFonts w:ascii="Times New Roman" w:hAnsi="Times New Roman"/>
                <w:sz w:val="18"/>
                <w:szCs w:val="18"/>
              </w:rPr>
              <w:t xml:space="preserve">&gt;= 80% </w:t>
            </w:r>
            <w:r w:rsidRPr="003C3367">
              <w:rPr>
                <w:rFonts w:ascii="Times New Roman" w:hAnsi="Times New Roman"/>
                <w:i/>
                <w:sz w:val="18"/>
                <w:szCs w:val="18"/>
              </w:rPr>
              <w:t>rispetto alla scadenza del 30 Giugno</w:t>
            </w:r>
          </w:p>
        </w:tc>
        <w:tc>
          <w:tcPr>
            <w:tcW w:w="0" w:type="auto"/>
            <w:shd w:val="clear" w:color="auto" w:fill="auto"/>
            <w:vAlign w:val="center"/>
          </w:tcPr>
          <w:p w:rsidR="00E41FE1" w:rsidRPr="00E63330" w:rsidRDefault="0096592E" w:rsidP="009F0B9F">
            <w:pPr>
              <w:jc w:val="center"/>
              <w:rPr>
                <w:rFonts w:ascii="Times New Roman" w:hAnsi="Times New Roman"/>
                <w:sz w:val="18"/>
                <w:szCs w:val="18"/>
              </w:rPr>
            </w:pPr>
            <w:r w:rsidRPr="003C3367">
              <w:rPr>
                <w:rFonts w:ascii="Times New Roman" w:hAnsi="Times New Roman"/>
                <w:sz w:val="18"/>
                <w:szCs w:val="18"/>
              </w:rPr>
              <w:t>100%</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c>
          <w:tcPr>
            <w:tcW w:w="0" w:type="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3.1</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I.3.1.1 Numero di Aree di miglioramento sfruttate rispetto a quelle emerse nel corso dell’Audit</w:t>
            </w:r>
          </w:p>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w:t>
            </w:r>
            <w:r w:rsidRPr="003C3367">
              <w:rPr>
                <w:rFonts w:ascii="Times New Roman" w:hAnsi="Times New Roman"/>
                <w:sz w:val="18"/>
                <w:szCs w:val="18"/>
                <w:u w:val="single"/>
              </w:rPr>
              <w:t>Peso: 100%)</w:t>
            </w:r>
          </w:p>
          <w:p w:rsidR="00E41FE1" w:rsidRPr="00E63330" w:rsidRDefault="00E41FE1" w:rsidP="009F0B9F">
            <w:pPr>
              <w:autoSpaceDE w:val="0"/>
              <w:autoSpaceDN w:val="0"/>
              <w:adjustRightInd w:val="0"/>
              <w:spacing w:after="0"/>
              <w:jc w:val="center"/>
              <w:rPr>
                <w:rFonts w:ascii="Times New Roman" w:hAnsi="Times New Roman"/>
                <w:sz w:val="18"/>
                <w:szCs w:val="18"/>
              </w:rPr>
            </w:pPr>
          </w:p>
          <w:p w:rsidR="00E41FE1" w:rsidRPr="00E63330" w:rsidRDefault="00E41FE1" w:rsidP="009F0B9F">
            <w:pPr>
              <w:autoSpaceDE w:val="0"/>
              <w:autoSpaceDN w:val="0"/>
              <w:adjustRightInd w:val="0"/>
              <w:spacing w:after="0"/>
              <w:jc w:val="center"/>
              <w:rPr>
                <w:rFonts w:ascii="Times New Roman" w:hAnsi="Times New Roman"/>
                <w:sz w:val="24"/>
                <w:szCs w:val="24"/>
                <w:highlight w:val="yellow"/>
              </w:rPr>
            </w:pP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highlight w:val="yellow"/>
              </w:rPr>
            </w:pPr>
            <w:r w:rsidRPr="003C3367">
              <w:rPr>
                <w:rFonts w:ascii="Times New Roman" w:hAnsi="Times New Roman"/>
                <w:sz w:val="18"/>
                <w:szCs w:val="18"/>
              </w:rPr>
              <w:t>Riscontabile dai Manuali dell’Ente in materia di sicurezza delle informazioni approvati con decreto del Direttore</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&gt;= 40%</w:t>
            </w:r>
          </w:p>
          <w:p w:rsidR="00E41FE1" w:rsidRPr="00E63330" w:rsidRDefault="00E41FE1" w:rsidP="009F0B9F">
            <w:pPr>
              <w:autoSpaceDE w:val="0"/>
              <w:autoSpaceDN w:val="0"/>
              <w:adjustRightInd w:val="0"/>
              <w:spacing w:after="0"/>
              <w:jc w:val="center"/>
              <w:rPr>
                <w:rFonts w:ascii="Times New Roman" w:hAnsi="Times New Roman"/>
                <w:sz w:val="18"/>
                <w:szCs w:val="18"/>
                <w:highlight w:val="yellow"/>
              </w:rPr>
            </w:pP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50%</w:t>
            </w:r>
          </w:p>
          <w:p w:rsidR="00E41FE1" w:rsidRPr="00E63330" w:rsidRDefault="00E41FE1" w:rsidP="009F0B9F">
            <w:pPr>
              <w:autoSpaceDE w:val="0"/>
              <w:autoSpaceDN w:val="0"/>
              <w:adjustRightInd w:val="0"/>
              <w:spacing w:after="0"/>
              <w:jc w:val="center"/>
              <w:rPr>
                <w:rFonts w:ascii="Times New Roman" w:hAnsi="Times New Roman"/>
                <w:sz w:val="18"/>
                <w:szCs w:val="18"/>
                <w:highlight w:val="yellow"/>
              </w:rPr>
            </w:pP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r w:rsidR="00365A6B" w:rsidRPr="00E63330" w:rsidTr="009F0B9F">
        <w:tc>
          <w:tcPr>
            <w:tcW w:w="0" w:type="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3.2</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highlight w:val="yellow"/>
              </w:rPr>
            </w:pPr>
            <w:r w:rsidRPr="003C3367">
              <w:rPr>
                <w:rFonts w:ascii="Times New Roman" w:hAnsi="Times New Roman"/>
                <w:sz w:val="18"/>
                <w:szCs w:val="18"/>
              </w:rPr>
              <w:t>I.3.2.1 Grado di maturità pari a 3 su 5 (</w:t>
            </w:r>
            <w:r w:rsidRPr="003C3367">
              <w:rPr>
                <w:rFonts w:ascii="Times New Roman" w:hAnsi="Times New Roman"/>
                <w:sz w:val="18"/>
                <w:szCs w:val="18"/>
                <w:u w:val="single"/>
              </w:rPr>
              <w:t>Peso 100%</w:t>
            </w:r>
            <w:r w:rsidRPr="003C3367">
              <w:rPr>
                <w:rFonts w:ascii="Times New Roman" w:hAnsi="Times New Roman"/>
                <w:sz w:val="18"/>
                <w:szCs w:val="18"/>
              </w:rPr>
              <w:t>).</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i/>
                <w:sz w:val="18"/>
                <w:szCs w:val="18"/>
                <w:highlight w:val="yellow"/>
              </w:rPr>
            </w:pPr>
            <w:r w:rsidRPr="003C3367">
              <w:rPr>
                <w:rFonts w:ascii="Times New Roman" w:hAnsi="Times New Roman"/>
                <w:sz w:val="18"/>
                <w:szCs w:val="18"/>
              </w:rPr>
              <w:t>Riscontrabile dalle attività di self-</w:t>
            </w:r>
            <w:proofErr w:type="spellStart"/>
            <w:r w:rsidRPr="003C3367">
              <w:rPr>
                <w:rFonts w:ascii="Times New Roman" w:hAnsi="Times New Roman"/>
                <w:sz w:val="18"/>
                <w:szCs w:val="18"/>
              </w:rPr>
              <w:t>assessment</w:t>
            </w:r>
            <w:proofErr w:type="spellEnd"/>
            <w:r w:rsidRPr="003C3367">
              <w:rPr>
                <w:rFonts w:ascii="Times New Roman" w:hAnsi="Times New Roman"/>
                <w:sz w:val="18"/>
                <w:szCs w:val="18"/>
              </w:rPr>
              <w:t xml:space="preserve"> condotte dal Sistema Informativo e dal Controllo interno secondo quanto previsto dallo standard internazionale</w:t>
            </w:r>
          </w:p>
        </w:tc>
        <w:tc>
          <w:tcPr>
            <w:tcW w:w="0" w:type="auto"/>
            <w:shd w:val="clear" w:color="auto" w:fill="auto"/>
            <w:vAlign w:val="center"/>
          </w:tcPr>
          <w:p w:rsidR="00E41FE1" w:rsidRPr="00E63330" w:rsidRDefault="0096592E" w:rsidP="009F0B9F">
            <w:pPr>
              <w:autoSpaceDE w:val="0"/>
              <w:autoSpaceDN w:val="0"/>
              <w:adjustRightInd w:val="0"/>
              <w:spacing w:after="0"/>
              <w:jc w:val="center"/>
              <w:rPr>
                <w:rFonts w:ascii="Times New Roman" w:hAnsi="Times New Roman"/>
                <w:sz w:val="18"/>
                <w:szCs w:val="18"/>
                <w:highlight w:val="yellow"/>
              </w:rPr>
            </w:pPr>
            <w:r w:rsidRPr="003C3367">
              <w:rPr>
                <w:rFonts w:ascii="Times New Roman" w:hAnsi="Times New Roman"/>
                <w:sz w:val="18"/>
                <w:szCs w:val="18"/>
              </w:rPr>
              <w:t>Non riscontrabile</w:t>
            </w:r>
          </w:p>
        </w:tc>
        <w:tc>
          <w:tcPr>
            <w:tcW w:w="0" w:type="auto"/>
            <w:shd w:val="clear" w:color="auto" w:fill="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Non Misurabile</w:t>
            </w:r>
          </w:p>
        </w:tc>
        <w:tc>
          <w:tcPr>
            <w:tcW w:w="0" w:type="auto"/>
            <w:vAlign w:val="center"/>
          </w:tcPr>
          <w:p w:rsidR="00E41FE1" w:rsidRPr="00E63330" w:rsidRDefault="0096592E" w:rsidP="009F0B9F">
            <w:pPr>
              <w:tabs>
                <w:tab w:val="left" w:pos="287"/>
              </w:tabs>
              <w:spacing w:after="120"/>
              <w:jc w:val="center"/>
              <w:rPr>
                <w:rFonts w:ascii="Times New Roman" w:hAnsi="Times New Roman"/>
                <w:sz w:val="18"/>
                <w:szCs w:val="18"/>
              </w:rPr>
            </w:pPr>
            <w:r w:rsidRPr="003C3367">
              <w:rPr>
                <w:rFonts w:ascii="Times New Roman" w:hAnsi="Times New Roman"/>
                <w:sz w:val="18"/>
                <w:szCs w:val="18"/>
              </w:rPr>
              <w:t>Indicatore non confermato</w:t>
            </w:r>
          </w:p>
        </w:tc>
      </w:tr>
    </w:tbl>
    <w:p w:rsidR="00D15168" w:rsidRDefault="00D15168" w:rsidP="007B183D">
      <w:pPr>
        <w:autoSpaceDE w:val="0"/>
        <w:autoSpaceDN w:val="0"/>
        <w:adjustRightInd w:val="0"/>
        <w:spacing w:after="0"/>
        <w:rPr>
          <w:rFonts w:ascii="Times New Roman" w:hAnsi="Times New Roman"/>
          <w:b/>
          <w:sz w:val="24"/>
          <w:szCs w:val="24"/>
        </w:rPr>
      </w:pPr>
    </w:p>
    <w:p w:rsidR="007053B8" w:rsidRDefault="007053B8"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B.2 Analisi di tutti gli indicatori presenti nel Piano 2019 con il risultato dell’ultima rilevazione effettuata (dove disponibile) </w:t>
      </w:r>
    </w:p>
    <w:p w:rsidR="005D58E2" w:rsidRDefault="005D58E2" w:rsidP="007B183D">
      <w:pPr>
        <w:autoSpaceDE w:val="0"/>
        <w:autoSpaceDN w:val="0"/>
        <w:adjustRightInd w:val="0"/>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4617"/>
        <w:gridCol w:w="2761"/>
        <w:gridCol w:w="1747"/>
      </w:tblGrid>
      <w:tr w:rsidR="005D58E2" w:rsidRPr="00E63330" w:rsidTr="00B35849">
        <w:tc>
          <w:tcPr>
            <w:tcW w:w="0" w:type="auto"/>
            <w:vAlign w:val="center"/>
          </w:tcPr>
          <w:p w:rsidR="005D58E2" w:rsidRPr="003C3367" w:rsidRDefault="005D58E2" w:rsidP="00B35849">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O.O.</w:t>
            </w:r>
          </w:p>
        </w:tc>
        <w:tc>
          <w:tcPr>
            <w:tcW w:w="0" w:type="auto"/>
            <w:shd w:val="clear" w:color="auto" w:fill="auto"/>
            <w:vAlign w:val="center"/>
          </w:tcPr>
          <w:p w:rsidR="005D58E2" w:rsidRPr="003C3367" w:rsidRDefault="005D58E2" w:rsidP="00B35849">
            <w:pPr>
              <w:autoSpaceDE w:val="0"/>
              <w:autoSpaceDN w:val="0"/>
              <w:adjustRightInd w:val="0"/>
              <w:spacing w:after="0"/>
              <w:jc w:val="center"/>
              <w:rPr>
                <w:rFonts w:ascii="Times New Roman" w:hAnsi="Times New Roman"/>
                <w:sz w:val="24"/>
                <w:szCs w:val="24"/>
              </w:rPr>
            </w:pPr>
            <w:r w:rsidRPr="003C3367">
              <w:rPr>
                <w:rFonts w:ascii="Times New Roman" w:hAnsi="Times New Roman"/>
                <w:b/>
                <w:sz w:val="18"/>
                <w:szCs w:val="18"/>
              </w:rPr>
              <w:t>Indicatore</w:t>
            </w:r>
          </w:p>
        </w:tc>
        <w:tc>
          <w:tcPr>
            <w:tcW w:w="0" w:type="auto"/>
            <w:shd w:val="clear" w:color="auto" w:fill="auto"/>
            <w:vAlign w:val="center"/>
          </w:tcPr>
          <w:p w:rsidR="005D58E2" w:rsidRPr="003C3367" w:rsidRDefault="005D58E2" w:rsidP="00B35849">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Fonte</w:t>
            </w:r>
          </w:p>
        </w:tc>
        <w:tc>
          <w:tcPr>
            <w:tcW w:w="0" w:type="auto"/>
            <w:shd w:val="clear" w:color="auto" w:fill="auto"/>
            <w:vAlign w:val="center"/>
          </w:tcPr>
          <w:p w:rsidR="005D58E2" w:rsidRPr="003C3367" w:rsidRDefault="005D58E2" w:rsidP="00B35849">
            <w:pPr>
              <w:autoSpaceDE w:val="0"/>
              <w:autoSpaceDN w:val="0"/>
              <w:adjustRightInd w:val="0"/>
              <w:spacing w:after="0"/>
              <w:jc w:val="center"/>
              <w:rPr>
                <w:rFonts w:ascii="Times New Roman" w:hAnsi="Times New Roman"/>
                <w:b/>
                <w:sz w:val="18"/>
                <w:szCs w:val="18"/>
              </w:rPr>
            </w:pPr>
            <w:r>
              <w:rPr>
                <w:rFonts w:ascii="Times New Roman" w:hAnsi="Times New Roman"/>
                <w:b/>
                <w:sz w:val="18"/>
                <w:szCs w:val="18"/>
              </w:rPr>
              <w:t>Risultati Ultima rilevazione</w:t>
            </w:r>
          </w:p>
        </w:tc>
      </w:tr>
      <w:tr w:rsidR="005D58E2" w:rsidRPr="00E63330" w:rsidTr="00B35849">
        <w:trPr>
          <w:trHeight w:val="1162"/>
        </w:trPr>
        <w:tc>
          <w:tcPr>
            <w:tcW w:w="0" w:type="auto"/>
            <w:vMerge w:val="restart"/>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t>1.1</w:t>
            </w:r>
          </w:p>
        </w:tc>
        <w:tc>
          <w:tcPr>
            <w:tcW w:w="0" w:type="auto"/>
            <w:shd w:val="clear" w:color="auto" w:fill="auto"/>
            <w:vAlign w:val="center"/>
          </w:tcPr>
          <w:p w:rsidR="005D58E2" w:rsidRPr="003C3367" w:rsidRDefault="005D58E2" w:rsidP="00B35849">
            <w:pPr>
              <w:tabs>
                <w:tab w:val="left" w:pos="287"/>
              </w:tabs>
              <w:spacing w:after="120"/>
              <w:rPr>
                <w:rFonts w:ascii="Times New Roman" w:hAnsi="Times New Roman"/>
                <w:sz w:val="18"/>
                <w:szCs w:val="18"/>
              </w:rPr>
            </w:pPr>
            <w:r w:rsidRPr="003C3367">
              <w:rPr>
                <w:rFonts w:ascii="Times New Roman" w:hAnsi="Times New Roman"/>
                <w:sz w:val="18"/>
                <w:szCs w:val="18"/>
              </w:rPr>
              <w:t>I1.1.1: Livello di maturità complessivo dell’ARCEA, riscontrato dall’Organismo di Certificazione (</w:t>
            </w:r>
            <w:r w:rsidRPr="003C3367">
              <w:rPr>
                <w:rFonts w:ascii="Times New Roman" w:hAnsi="Times New Roman"/>
                <w:sz w:val="18"/>
                <w:szCs w:val="18"/>
                <w:u w:val="single"/>
              </w:rPr>
              <w:t xml:space="preserve">peso </w:t>
            </w:r>
            <w:r>
              <w:rPr>
                <w:rFonts w:ascii="Times New Roman" w:hAnsi="Times New Roman"/>
                <w:sz w:val="18"/>
                <w:szCs w:val="18"/>
                <w:u w:val="single"/>
              </w:rPr>
              <w:t>6</w:t>
            </w:r>
            <w:r w:rsidRPr="003C3367">
              <w:rPr>
                <w:rFonts w:ascii="Times New Roman" w:hAnsi="Times New Roman"/>
                <w:sz w:val="18"/>
                <w:szCs w:val="18"/>
                <w:u w:val="single"/>
              </w:rPr>
              <w:t>0%</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7053B8" w:rsidRDefault="007053B8" w:rsidP="00F80F64">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F80F64">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F80F64">
              <w:rPr>
                <w:rFonts w:ascii="Times New Roman" w:hAnsi="Times New Roman"/>
                <w:sz w:val="18"/>
                <w:szCs w:val="18"/>
              </w:rPr>
              <w:t>2,7</w:t>
            </w:r>
          </w:p>
        </w:tc>
      </w:tr>
      <w:tr w:rsidR="005D58E2" w:rsidRPr="00E63330" w:rsidTr="00B35849">
        <w:trPr>
          <w:trHeight w:val="1038"/>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I.1.1.2: Eventi formativi rivolti a tutto il personale (&gt;=3, ossia almeno 3 eventi per ogni dipendente) (</w:t>
            </w:r>
            <w:r w:rsidRPr="003C3367">
              <w:rPr>
                <w:rFonts w:ascii="Times New Roman" w:hAnsi="Times New Roman"/>
                <w:b/>
                <w:sz w:val="18"/>
                <w:szCs w:val="18"/>
                <w:u w:val="single"/>
              </w:rPr>
              <w:t>peso 40%</w:t>
            </w:r>
            <w:r w:rsidRPr="003C3367">
              <w:rPr>
                <w:rFonts w:ascii="Times New Roman" w:hAnsi="Times New Roman"/>
                <w:b/>
                <w:sz w:val="18"/>
                <w:szCs w:val="18"/>
              </w:rPr>
              <w:t>) ;</w:t>
            </w:r>
          </w:p>
          <w:p w:rsidR="005D58E2" w:rsidRPr="003C3367" w:rsidRDefault="005D58E2" w:rsidP="00B35849">
            <w:pPr>
              <w:tabs>
                <w:tab w:val="left" w:pos="287"/>
              </w:tabs>
              <w:spacing w:after="120"/>
              <w:jc w:val="both"/>
              <w:rPr>
                <w:rFonts w:ascii="Times New Roman" w:hAnsi="Times New Roman"/>
                <w:b/>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Riscontrabile dai fogli presenza/attestazioni detenuti dall’Ufficio personale</w:t>
            </w:r>
          </w:p>
        </w:tc>
        <w:tc>
          <w:tcPr>
            <w:tcW w:w="0" w:type="auto"/>
            <w:shd w:val="clear" w:color="auto" w:fill="auto"/>
            <w:vAlign w:val="center"/>
          </w:tcPr>
          <w:p w:rsidR="007053B8" w:rsidRDefault="007053B8" w:rsidP="00F80F64">
            <w:pPr>
              <w:tabs>
                <w:tab w:val="left" w:pos="287"/>
              </w:tabs>
              <w:spacing w:after="120"/>
              <w:rPr>
                <w:rFonts w:ascii="Times New Roman" w:hAnsi="Times New Roman"/>
                <w:b/>
                <w:sz w:val="18"/>
                <w:szCs w:val="18"/>
              </w:rPr>
            </w:pPr>
            <w:r>
              <w:rPr>
                <w:rFonts w:ascii="Times New Roman" w:hAnsi="Times New Roman"/>
                <w:b/>
                <w:sz w:val="18"/>
                <w:szCs w:val="18"/>
              </w:rPr>
              <w:t>Anno di rilevazione: 2018</w:t>
            </w:r>
            <w:r w:rsidR="00210CA9">
              <w:rPr>
                <w:rFonts w:ascii="Times New Roman" w:hAnsi="Times New Roman"/>
                <w:b/>
                <w:sz w:val="18"/>
                <w:szCs w:val="18"/>
              </w:rPr>
              <w:t xml:space="preserve"> </w:t>
            </w:r>
          </w:p>
          <w:p w:rsidR="005D58E2" w:rsidRPr="003C3367" w:rsidRDefault="007053B8" w:rsidP="00F80F64">
            <w:pPr>
              <w:tabs>
                <w:tab w:val="left" w:pos="287"/>
              </w:tabs>
              <w:spacing w:after="120"/>
              <w:rPr>
                <w:rFonts w:ascii="Times New Roman" w:hAnsi="Times New Roman"/>
                <w:b/>
                <w:sz w:val="18"/>
                <w:szCs w:val="18"/>
              </w:rPr>
            </w:pPr>
            <w:r>
              <w:rPr>
                <w:rFonts w:ascii="Times New Roman" w:hAnsi="Times New Roman"/>
                <w:b/>
                <w:sz w:val="18"/>
                <w:szCs w:val="18"/>
              </w:rPr>
              <w:t xml:space="preserve">Valore: </w:t>
            </w:r>
            <w:r w:rsidR="005D58E2">
              <w:rPr>
                <w:rFonts w:ascii="Times New Roman" w:hAnsi="Times New Roman"/>
                <w:b/>
                <w:sz w:val="18"/>
                <w:szCs w:val="18"/>
              </w:rPr>
              <w:t>L’anno scorso un solo evento ha riguardato tutto il personale</w:t>
            </w:r>
          </w:p>
        </w:tc>
      </w:tr>
      <w:tr w:rsidR="005D58E2" w:rsidRPr="00E63330" w:rsidTr="00B35849">
        <w:trPr>
          <w:trHeight w:val="1038"/>
        </w:trPr>
        <w:tc>
          <w:tcPr>
            <w:tcW w:w="0" w:type="auto"/>
            <w:vMerge w:val="restart"/>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lastRenderedPageBreak/>
              <w:t>1.2</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1</w:t>
            </w:r>
            <w:r w:rsidRPr="003C3367">
              <w:rPr>
                <w:rFonts w:ascii="Times New Roman" w:hAnsi="Times New Roman"/>
                <w:sz w:val="18"/>
                <w:szCs w:val="18"/>
              </w:rPr>
              <w:t xml:space="preserve">: Incidenza spesa personale sulla spesa corrente (Indicatore di equilibrio economico-finanziario) </w:t>
            </w:r>
            <w:r w:rsidRPr="003C3367">
              <w:rPr>
                <w:rFonts w:ascii="Times New Roman" w:hAnsi="Times New Roman"/>
                <w:i/>
                <w:sz w:val="18"/>
                <w:szCs w:val="18"/>
              </w:rPr>
              <w:t>(Fonte: Piano degli indicatori e dei risultati attesi di bilancio)</w:t>
            </w:r>
            <w:r w:rsidRPr="003C3367">
              <w:rPr>
                <w:rFonts w:ascii="Times New Roman" w:hAnsi="Times New Roman"/>
                <w:sz w:val="18"/>
                <w:szCs w:val="18"/>
              </w:rPr>
              <w:t xml:space="preserve"> (</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Fonte: Piano degli indicatori e dei risultati attesi di bilancio</w:t>
            </w:r>
          </w:p>
          <w:p w:rsidR="005D58E2" w:rsidRPr="003C3367"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rsidR="007053B8" w:rsidRDefault="007053B8" w:rsidP="00F80F64">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F80F64">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5D58E2" w:rsidRPr="005D58E2">
              <w:rPr>
                <w:rFonts w:ascii="Times New Roman" w:hAnsi="Times New Roman"/>
                <w:sz w:val="18"/>
                <w:szCs w:val="18"/>
              </w:rPr>
              <w:t>34,13%</w:t>
            </w:r>
          </w:p>
        </w:tc>
      </w:tr>
      <w:tr w:rsidR="005D58E2" w:rsidRPr="00E63330" w:rsidTr="00B35849">
        <w:trPr>
          <w:trHeight w:val="1403"/>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2</w:t>
            </w:r>
            <w:r w:rsidRPr="003C3367">
              <w:rPr>
                <w:rFonts w:ascii="Times New Roman" w:hAnsi="Times New Roman"/>
                <w:sz w:val="18"/>
                <w:szCs w:val="18"/>
              </w:rPr>
              <w:t xml:space="preserve">: Indicatore di realizzazione delle previsioni di competenza concernenti le entrate correnti </w:t>
            </w:r>
            <w:r w:rsidRPr="003C3367">
              <w:rPr>
                <w:rFonts w:ascii="Times New Roman" w:hAnsi="Times New Roman"/>
                <w:i/>
                <w:sz w:val="18"/>
                <w:szCs w:val="18"/>
              </w:rPr>
              <w:t>(Fonte: Piano degli indicatori e dei risultati attesi di bilancio)</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p w:rsidR="005D58E2" w:rsidRPr="003C3367"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rsidR="007053B8" w:rsidRDefault="007053B8" w:rsidP="007053B8">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7053B8">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5D58E2" w:rsidRPr="005D58E2">
              <w:rPr>
                <w:rFonts w:ascii="Times New Roman" w:hAnsi="Times New Roman"/>
                <w:sz w:val="18"/>
                <w:szCs w:val="18"/>
              </w:rPr>
              <w:t>71,74%</w:t>
            </w:r>
          </w:p>
        </w:tc>
      </w:tr>
      <w:tr w:rsidR="005D58E2" w:rsidRPr="00E63330" w:rsidTr="00B35849">
        <w:trPr>
          <w:trHeight w:val="1396"/>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3</w:t>
            </w:r>
            <w:r w:rsidRPr="003C3367">
              <w:rPr>
                <w:rFonts w:ascii="Times New Roman" w:hAnsi="Times New Roman"/>
                <w:sz w:val="18"/>
                <w:szCs w:val="18"/>
              </w:rPr>
              <w:t xml:space="preserve"> Incidenza spese rigide (disavanzo, personale e debito) su entrate correnti </w:t>
            </w:r>
            <w:r w:rsidRPr="003C3367">
              <w:rPr>
                <w:rFonts w:ascii="Times New Roman" w:hAnsi="Times New Roman"/>
                <w:i/>
                <w:sz w:val="18"/>
                <w:szCs w:val="18"/>
              </w:rPr>
              <w:t>(Fonte: Piano degli indicatori e dei risultati attesi di bilancio)</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tc>
        <w:tc>
          <w:tcPr>
            <w:tcW w:w="0" w:type="auto"/>
            <w:shd w:val="clear" w:color="auto" w:fill="auto"/>
            <w:vAlign w:val="center"/>
          </w:tcPr>
          <w:p w:rsidR="007053B8" w:rsidRDefault="007053B8" w:rsidP="007053B8">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7053B8">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404136" w:rsidRPr="00404136">
              <w:rPr>
                <w:rFonts w:ascii="Times New Roman" w:hAnsi="Times New Roman"/>
                <w:sz w:val="18"/>
                <w:szCs w:val="18"/>
              </w:rPr>
              <w:t>46,10%</w:t>
            </w:r>
          </w:p>
        </w:tc>
      </w:tr>
      <w:tr w:rsidR="005D58E2" w:rsidRPr="00E63330" w:rsidTr="00B35849">
        <w:trPr>
          <w:trHeight w:val="1404"/>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i/>
                <w:sz w:val="18"/>
                <w:szCs w:val="18"/>
              </w:rPr>
            </w:pPr>
            <w:r w:rsidRPr="003C3367">
              <w:rPr>
                <w:rFonts w:ascii="Times New Roman" w:hAnsi="Times New Roman"/>
                <w:sz w:val="18"/>
                <w:szCs w:val="18"/>
              </w:rPr>
              <w:t>I.1.</w:t>
            </w:r>
            <w:r>
              <w:rPr>
                <w:rFonts w:ascii="Times New Roman" w:hAnsi="Times New Roman"/>
                <w:sz w:val="18"/>
                <w:szCs w:val="18"/>
              </w:rPr>
              <w:t>2</w:t>
            </w:r>
            <w:r w:rsidRPr="003C3367">
              <w:rPr>
                <w:rFonts w:ascii="Times New Roman" w:hAnsi="Times New Roman"/>
                <w:sz w:val="18"/>
                <w:szCs w:val="18"/>
              </w:rPr>
              <w:t>.</w:t>
            </w:r>
            <w:r>
              <w:rPr>
                <w:rFonts w:ascii="Times New Roman" w:hAnsi="Times New Roman"/>
                <w:sz w:val="18"/>
                <w:szCs w:val="18"/>
              </w:rPr>
              <w:t>4</w:t>
            </w:r>
            <w:r w:rsidRPr="003C3367">
              <w:rPr>
                <w:rFonts w:ascii="Times New Roman" w:hAnsi="Times New Roman"/>
                <w:sz w:val="18"/>
                <w:szCs w:val="18"/>
              </w:rPr>
              <w:t xml:space="preserve"> Indicatore di smaltimento debiti commerciali Stanziamento di cassa </w:t>
            </w:r>
            <w:r w:rsidRPr="003C3367">
              <w:rPr>
                <w:rFonts w:ascii="Times New Roman" w:hAnsi="Times New Roman"/>
                <w:i/>
                <w:sz w:val="18"/>
                <w:szCs w:val="18"/>
              </w:rPr>
              <w:t>(Fonte: Piano degli indicatori e dei risultati attesi di bilancio) )</w:t>
            </w:r>
            <w:r w:rsidRPr="003C3367">
              <w:rPr>
                <w:rFonts w:ascii="Times New Roman" w:hAnsi="Times New Roman"/>
                <w:sz w:val="18"/>
                <w:szCs w:val="18"/>
              </w:rPr>
              <w:t>(</w:t>
            </w:r>
            <w:r w:rsidRPr="003C3367">
              <w:rPr>
                <w:rFonts w:ascii="Times New Roman" w:hAnsi="Times New Roman"/>
                <w:sz w:val="18"/>
                <w:szCs w:val="18"/>
                <w:u w:val="single"/>
              </w:rPr>
              <w:t xml:space="preserve">peso </w:t>
            </w:r>
            <w:r>
              <w:rPr>
                <w:rFonts w:ascii="Times New Roman" w:hAnsi="Times New Roman"/>
                <w:sz w:val="18"/>
                <w:szCs w:val="18"/>
                <w:u w:val="single"/>
              </w:rPr>
              <w:t>2</w:t>
            </w:r>
            <w:r w:rsidRPr="003C3367">
              <w:rPr>
                <w:rFonts w:ascii="Times New Roman" w:hAnsi="Times New Roman"/>
                <w:sz w:val="18"/>
                <w:szCs w:val="18"/>
                <w:u w:val="single"/>
              </w:rPr>
              <w:t>5%</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Piano degli indicatori e dei risultati attesi di bilancio</w:t>
            </w:r>
          </w:p>
          <w:p w:rsidR="005D58E2" w:rsidRPr="003C3367"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rsidR="007053B8" w:rsidRDefault="007053B8" w:rsidP="007053B8">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7053B8">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404136" w:rsidRPr="00404136">
              <w:rPr>
                <w:rFonts w:ascii="Times New Roman" w:hAnsi="Times New Roman"/>
                <w:sz w:val="18"/>
                <w:szCs w:val="18"/>
              </w:rPr>
              <w:t>81,85%</w:t>
            </w:r>
          </w:p>
        </w:tc>
      </w:tr>
      <w:tr w:rsidR="005D58E2" w:rsidRPr="00E63330" w:rsidTr="00B35849">
        <w:trPr>
          <w:trHeight w:val="1115"/>
        </w:trPr>
        <w:tc>
          <w:tcPr>
            <w:tcW w:w="0" w:type="auto"/>
            <w:vMerge w:val="restart"/>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t>1.3</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sz w:val="18"/>
                <w:szCs w:val="18"/>
              </w:rPr>
              <w:t xml:space="preserve">I.1.3.1 Numero di Piani d’azione, definiti in fase di audit, implementati dalle Funzioni/OODD entro il termine indicato (&gt;=80%) (Riscontrabili dalle 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 (</w:t>
            </w:r>
            <w:r w:rsidRPr="003C3367">
              <w:rPr>
                <w:rFonts w:ascii="Times New Roman" w:hAnsi="Times New Roman"/>
                <w:b/>
                <w:sz w:val="18"/>
                <w:szCs w:val="18"/>
                <w:u w:val="single"/>
              </w:rPr>
              <w:t>Peso 20%</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Relazioni di audit del Servizio Contr. </w:t>
            </w:r>
            <w:proofErr w:type="spellStart"/>
            <w:r w:rsidRPr="003C3367">
              <w:rPr>
                <w:rFonts w:ascii="Times New Roman" w:hAnsi="Times New Roman"/>
                <w:sz w:val="18"/>
                <w:szCs w:val="18"/>
              </w:rPr>
              <w:t>Int</w:t>
            </w:r>
            <w:proofErr w:type="spellEnd"/>
            <w:r w:rsidRPr="003C3367">
              <w:rPr>
                <w:rFonts w:ascii="Times New Roman" w:hAnsi="Times New Roman"/>
                <w:sz w:val="18"/>
                <w:szCs w:val="18"/>
              </w:rPr>
              <w:t>.</w:t>
            </w:r>
          </w:p>
        </w:tc>
        <w:tc>
          <w:tcPr>
            <w:tcW w:w="0" w:type="auto"/>
            <w:shd w:val="clear" w:color="auto" w:fill="auto"/>
            <w:vAlign w:val="center"/>
          </w:tcPr>
          <w:p w:rsidR="007053B8" w:rsidRDefault="007053B8" w:rsidP="007053B8">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053B8" w:rsidP="007053B8">
            <w:pPr>
              <w:tabs>
                <w:tab w:val="left" w:pos="287"/>
              </w:tabs>
              <w:spacing w:after="120"/>
              <w:rPr>
                <w:rFonts w:ascii="Times New Roman" w:hAnsi="Times New Roman"/>
                <w:sz w:val="18"/>
                <w:szCs w:val="18"/>
              </w:rPr>
            </w:pPr>
            <w:r>
              <w:rPr>
                <w:rFonts w:ascii="Times New Roman" w:hAnsi="Times New Roman"/>
                <w:sz w:val="18"/>
                <w:szCs w:val="18"/>
              </w:rPr>
              <w:t xml:space="preserve">Valore: </w:t>
            </w:r>
            <w:r w:rsidR="00404136">
              <w:rPr>
                <w:rFonts w:ascii="Times New Roman" w:hAnsi="Times New Roman"/>
                <w:sz w:val="18"/>
                <w:szCs w:val="18"/>
              </w:rPr>
              <w:t xml:space="preserve">100% </w:t>
            </w:r>
          </w:p>
        </w:tc>
      </w:tr>
      <w:tr w:rsidR="005D58E2" w:rsidRPr="00E63330" w:rsidTr="00B35849">
        <w:trPr>
          <w:trHeight w:val="1115"/>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autoSpaceDE w:val="0"/>
              <w:autoSpaceDN w:val="0"/>
              <w:adjustRightInd w:val="0"/>
              <w:spacing w:after="0"/>
              <w:jc w:val="both"/>
              <w:rPr>
                <w:rFonts w:ascii="Times New Roman" w:hAnsi="Times New Roman"/>
                <w:b/>
                <w:sz w:val="18"/>
                <w:szCs w:val="18"/>
              </w:rPr>
            </w:pPr>
            <w:r w:rsidRPr="003C3367">
              <w:rPr>
                <w:rFonts w:ascii="Times New Roman" w:hAnsi="Times New Roman"/>
                <w:b/>
                <w:sz w:val="18"/>
                <w:szCs w:val="18"/>
              </w:rPr>
              <w:t>I.1.3.2 Numero di incontri formativi/informativi con i CAA, l’ordine degli Agronomi e degli agrotecnici (&gt;= 5) (riscontrabili dai verbali redatti dalla Direzione)</w:t>
            </w:r>
          </w:p>
          <w:p w:rsidR="005D58E2" w:rsidRPr="003C3367" w:rsidRDefault="005D58E2" w:rsidP="003C3367">
            <w:pPr>
              <w:autoSpaceDE w:val="0"/>
              <w:autoSpaceDN w:val="0"/>
              <w:adjustRightInd w:val="0"/>
              <w:spacing w:after="0"/>
              <w:jc w:val="both"/>
              <w:rPr>
                <w:rFonts w:ascii="Times New Roman" w:hAnsi="Times New Roman"/>
                <w:b/>
                <w:sz w:val="18"/>
                <w:szCs w:val="18"/>
              </w:rPr>
            </w:pPr>
            <w:r w:rsidRPr="003C3367">
              <w:rPr>
                <w:rFonts w:ascii="Times New Roman" w:hAnsi="Times New Roman"/>
                <w:b/>
                <w:sz w:val="18"/>
                <w:szCs w:val="18"/>
              </w:rPr>
              <w:t>(</w:t>
            </w:r>
            <w:r w:rsidRPr="003C3367">
              <w:rPr>
                <w:rFonts w:ascii="Times New Roman" w:hAnsi="Times New Roman"/>
                <w:b/>
                <w:sz w:val="18"/>
                <w:szCs w:val="18"/>
                <w:u w:val="single"/>
              </w:rPr>
              <w:t xml:space="preserve">Peso </w:t>
            </w:r>
            <w:r w:rsidR="00CB3C4F">
              <w:rPr>
                <w:rFonts w:ascii="Times New Roman" w:hAnsi="Times New Roman"/>
                <w:b/>
                <w:sz w:val="18"/>
                <w:szCs w:val="18"/>
                <w:u w:val="single"/>
              </w:rPr>
              <w:t>1</w:t>
            </w:r>
            <w:r w:rsidRPr="003C3367">
              <w:rPr>
                <w:rFonts w:ascii="Times New Roman" w:hAnsi="Times New Roman"/>
                <w:b/>
                <w:sz w:val="18"/>
                <w:szCs w:val="18"/>
                <w:u w:val="single"/>
              </w:rPr>
              <w:t>0%</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verbali redatti dalla Direzione</w:t>
            </w:r>
          </w:p>
        </w:tc>
        <w:tc>
          <w:tcPr>
            <w:tcW w:w="0" w:type="auto"/>
            <w:shd w:val="clear" w:color="auto" w:fill="auto"/>
            <w:vAlign w:val="center"/>
          </w:tcPr>
          <w:p w:rsidR="007053B8" w:rsidRPr="00736F6E" w:rsidRDefault="007053B8" w:rsidP="007053B8">
            <w:pPr>
              <w:tabs>
                <w:tab w:val="left" w:pos="287"/>
              </w:tabs>
              <w:spacing w:after="120"/>
              <w:rPr>
                <w:rFonts w:ascii="Times New Roman" w:hAnsi="Times New Roman"/>
                <w:b/>
                <w:sz w:val="18"/>
                <w:szCs w:val="18"/>
              </w:rPr>
            </w:pPr>
            <w:r w:rsidRPr="00736F6E">
              <w:rPr>
                <w:rFonts w:ascii="Times New Roman" w:hAnsi="Times New Roman"/>
                <w:b/>
                <w:sz w:val="18"/>
                <w:szCs w:val="18"/>
              </w:rPr>
              <w:t>Anno di rilevazione: 2017</w:t>
            </w:r>
          </w:p>
          <w:p w:rsidR="005D58E2" w:rsidRPr="003C3367" w:rsidRDefault="007053B8" w:rsidP="007053B8">
            <w:pPr>
              <w:tabs>
                <w:tab w:val="left" w:pos="287"/>
              </w:tabs>
              <w:spacing w:after="120"/>
              <w:jc w:val="both"/>
              <w:rPr>
                <w:rFonts w:ascii="Times New Roman" w:hAnsi="Times New Roman"/>
                <w:b/>
                <w:sz w:val="18"/>
                <w:szCs w:val="18"/>
              </w:rPr>
            </w:pPr>
            <w:r w:rsidRPr="00736F6E">
              <w:rPr>
                <w:rFonts w:ascii="Times New Roman" w:hAnsi="Times New Roman"/>
                <w:b/>
                <w:sz w:val="18"/>
                <w:szCs w:val="18"/>
              </w:rPr>
              <w:t xml:space="preserve">Valore: </w:t>
            </w:r>
            <w:r w:rsidR="00404136" w:rsidRPr="00736F6E">
              <w:rPr>
                <w:rFonts w:ascii="Times New Roman" w:hAnsi="Times New Roman"/>
                <w:b/>
                <w:sz w:val="18"/>
                <w:szCs w:val="18"/>
              </w:rPr>
              <w:t>Nessun incontro formalizzato</w:t>
            </w:r>
            <w:r w:rsidR="00404136">
              <w:rPr>
                <w:rFonts w:ascii="Times New Roman" w:hAnsi="Times New Roman"/>
                <w:b/>
                <w:sz w:val="18"/>
                <w:szCs w:val="18"/>
              </w:rPr>
              <w:t xml:space="preserve"> </w:t>
            </w:r>
          </w:p>
        </w:tc>
      </w:tr>
      <w:tr w:rsidR="005D58E2" w:rsidRPr="00E63330" w:rsidTr="00B35849">
        <w:trPr>
          <w:trHeight w:val="1030"/>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I.1.3.3 Riduzione del tasso d’errore presente nelle statistiche di controllo relative al FEASR SIGC (&lt;= 8%) (riscontrabile dalle statistiche di controllo per come comunicate alla Commissione Europea tramite il canale di comunicazione ufficiale) (</w:t>
            </w:r>
            <w:r w:rsidRPr="003C3367">
              <w:rPr>
                <w:rFonts w:ascii="Times New Roman" w:hAnsi="Times New Roman"/>
                <w:b/>
                <w:sz w:val="18"/>
                <w:szCs w:val="18"/>
                <w:u w:val="single"/>
              </w:rPr>
              <w:t>Peso 35%</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statistiche di controllo per come comunicate alla Commissione Europea tramite il canale di comunicazione ufficiale</w:t>
            </w:r>
          </w:p>
        </w:tc>
        <w:tc>
          <w:tcPr>
            <w:tcW w:w="0" w:type="auto"/>
            <w:shd w:val="clear" w:color="auto" w:fill="auto"/>
            <w:vAlign w:val="center"/>
          </w:tcPr>
          <w:p w:rsidR="007053B8" w:rsidRPr="00736F6E" w:rsidRDefault="007053B8" w:rsidP="007053B8">
            <w:pPr>
              <w:tabs>
                <w:tab w:val="left" w:pos="287"/>
              </w:tabs>
              <w:spacing w:after="120"/>
              <w:rPr>
                <w:rFonts w:ascii="Times New Roman" w:hAnsi="Times New Roman"/>
                <w:b/>
                <w:sz w:val="18"/>
                <w:szCs w:val="18"/>
              </w:rPr>
            </w:pPr>
            <w:r w:rsidRPr="00736F6E">
              <w:rPr>
                <w:rFonts w:ascii="Times New Roman" w:hAnsi="Times New Roman"/>
                <w:b/>
                <w:sz w:val="18"/>
                <w:szCs w:val="18"/>
              </w:rPr>
              <w:t>Anno di rilevazione: 2018</w:t>
            </w:r>
          </w:p>
          <w:p w:rsidR="005D58E2" w:rsidRPr="003C3367" w:rsidRDefault="007053B8" w:rsidP="007053B8">
            <w:pPr>
              <w:tabs>
                <w:tab w:val="left" w:pos="287"/>
              </w:tabs>
              <w:spacing w:after="120"/>
              <w:jc w:val="both"/>
              <w:rPr>
                <w:rFonts w:ascii="Times New Roman" w:hAnsi="Times New Roman"/>
                <w:b/>
                <w:sz w:val="18"/>
                <w:szCs w:val="18"/>
              </w:rPr>
            </w:pPr>
            <w:r w:rsidRPr="00736F6E">
              <w:rPr>
                <w:rFonts w:ascii="Times New Roman" w:hAnsi="Times New Roman"/>
                <w:b/>
                <w:sz w:val="18"/>
                <w:szCs w:val="18"/>
              </w:rPr>
              <w:t xml:space="preserve">Valore: </w:t>
            </w:r>
            <w:r w:rsidR="00404136" w:rsidRPr="00736F6E">
              <w:rPr>
                <w:rFonts w:ascii="Times New Roman" w:hAnsi="Times New Roman"/>
                <w:b/>
                <w:sz w:val="18"/>
                <w:szCs w:val="18"/>
              </w:rPr>
              <w:t>10,33%</w:t>
            </w:r>
            <w:r w:rsidR="00404136" w:rsidRPr="00404136">
              <w:rPr>
                <w:rFonts w:ascii="Times New Roman" w:hAnsi="Times New Roman"/>
                <w:b/>
                <w:sz w:val="18"/>
                <w:szCs w:val="18"/>
              </w:rPr>
              <w:t xml:space="preserve">  </w:t>
            </w:r>
          </w:p>
        </w:tc>
      </w:tr>
      <w:tr w:rsidR="005D58E2" w:rsidRPr="00E63330" w:rsidTr="00B35849">
        <w:trPr>
          <w:trHeight w:val="622"/>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3C3367">
            <w:pPr>
              <w:tabs>
                <w:tab w:val="left" w:pos="287"/>
              </w:tabs>
              <w:spacing w:after="120"/>
              <w:jc w:val="both"/>
              <w:rPr>
                <w:rFonts w:ascii="Times New Roman" w:hAnsi="Times New Roman"/>
                <w:b/>
                <w:sz w:val="18"/>
                <w:szCs w:val="18"/>
              </w:rPr>
            </w:pPr>
            <w:r w:rsidRPr="003C3367">
              <w:rPr>
                <w:rFonts w:ascii="Times New Roman" w:hAnsi="Times New Roman"/>
                <w:b/>
                <w:sz w:val="18"/>
                <w:szCs w:val="18"/>
              </w:rPr>
              <w:t xml:space="preserve">I.1.3.4 Riduzione del tasso d’errore presente nelle statistiche di controllo relative al FEASR NON SIGC (&lt;= </w:t>
            </w:r>
            <w:r w:rsidR="003C3367">
              <w:rPr>
                <w:rFonts w:ascii="Times New Roman" w:hAnsi="Times New Roman"/>
                <w:b/>
                <w:sz w:val="18"/>
                <w:szCs w:val="18"/>
              </w:rPr>
              <w:t>3</w:t>
            </w:r>
            <w:r w:rsidRPr="003C3367">
              <w:rPr>
                <w:rFonts w:ascii="Times New Roman" w:hAnsi="Times New Roman"/>
                <w:b/>
                <w:sz w:val="18"/>
                <w:szCs w:val="18"/>
              </w:rPr>
              <w:t>)  (fonte statistiche di controllo per come comunicate alla Commissione Europea tramite il canale di comunicazione ufficiale) (</w:t>
            </w:r>
            <w:r w:rsidRPr="003C3367">
              <w:rPr>
                <w:rFonts w:ascii="Times New Roman" w:hAnsi="Times New Roman"/>
                <w:b/>
                <w:sz w:val="18"/>
                <w:szCs w:val="18"/>
                <w:u w:val="single"/>
              </w:rPr>
              <w:t>Peso 35%</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statistiche di controllo per come comunicate alla Commissione Europea tramite il canale di comunicazione ufficiale</w:t>
            </w:r>
          </w:p>
        </w:tc>
        <w:tc>
          <w:tcPr>
            <w:tcW w:w="0" w:type="auto"/>
            <w:shd w:val="clear" w:color="auto" w:fill="auto"/>
            <w:vAlign w:val="center"/>
          </w:tcPr>
          <w:p w:rsidR="007053B8" w:rsidRPr="00736F6E" w:rsidRDefault="007053B8" w:rsidP="007053B8">
            <w:pPr>
              <w:tabs>
                <w:tab w:val="left" w:pos="287"/>
              </w:tabs>
              <w:spacing w:after="120"/>
              <w:rPr>
                <w:rFonts w:ascii="Times New Roman" w:hAnsi="Times New Roman"/>
                <w:b/>
                <w:sz w:val="18"/>
                <w:szCs w:val="18"/>
              </w:rPr>
            </w:pPr>
            <w:r w:rsidRPr="00736F6E">
              <w:rPr>
                <w:rFonts w:ascii="Times New Roman" w:hAnsi="Times New Roman"/>
                <w:b/>
                <w:sz w:val="18"/>
                <w:szCs w:val="18"/>
              </w:rPr>
              <w:t>Anno di rilevazione: 2018</w:t>
            </w:r>
          </w:p>
          <w:p w:rsidR="005D58E2" w:rsidRPr="003C3367" w:rsidRDefault="007053B8" w:rsidP="007053B8">
            <w:pPr>
              <w:tabs>
                <w:tab w:val="left" w:pos="287"/>
              </w:tabs>
              <w:spacing w:after="120"/>
              <w:jc w:val="both"/>
              <w:rPr>
                <w:rFonts w:ascii="Times New Roman" w:hAnsi="Times New Roman"/>
                <w:b/>
                <w:sz w:val="18"/>
                <w:szCs w:val="18"/>
              </w:rPr>
            </w:pPr>
            <w:r w:rsidRPr="00736F6E">
              <w:rPr>
                <w:rFonts w:ascii="Times New Roman" w:hAnsi="Times New Roman"/>
                <w:b/>
                <w:sz w:val="18"/>
                <w:szCs w:val="18"/>
              </w:rPr>
              <w:t xml:space="preserve">Valore: </w:t>
            </w:r>
            <w:r w:rsidR="00404136" w:rsidRPr="00736F6E">
              <w:rPr>
                <w:rFonts w:ascii="Times New Roman" w:hAnsi="Times New Roman"/>
                <w:b/>
                <w:sz w:val="18"/>
                <w:szCs w:val="18"/>
              </w:rPr>
              <w:t>2018: 3,30%.</w:t>
            </w:r>
          </w:p>
        </w:tc>
      </w:tr>
      <w:tr w:rsidR="005D58E2" w:rsidRPr="00E63330" w:rsidTr="00B35849">
        <w:trPr>
          <w:trHeight w:val="2740"/>
        </w:trPr>
        <w:tc>
          <w:tcPr>
            <w:tcW w:w="0" w:type="auto"/>
            <w:vMerge w:val="restart"/>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t>1.4</w:t>
            </w:r>
          </w:p>
        </w:tc>
        <w:tc>
          <w:tcPr>
            <w:tcW w:w="0" w:type="auto"/>
            <w:shd w:val="clear" w:color="auto" w:fill="auto"/>
            <w:vAlign w:val="center"/>
          </w:tcPr>
          <w:p w:rsidR="005D58E2" w:rsidRPr="00404136"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I.4.1 Numero di monitoraggi effettuati con riferimento alle statistiche relative alle misure FEASR non SIGC allo scopo di verificare il processo di istruttoria delle domande di pagamento (Fonte: verbali redatti dall’Ufficio competente individuato formalmente dalla Direzione) (</w:t>
            </w:r>
            <w:r w:rsidRPr="003C3367">
              <w:rPr>
                <w:rFonts w:ascii="Times New Roman" w:hAnsi="Times New Roman"/>
                <w:b/>
                <w:sz w:val="18"/>
                <w:szCs w:val="18"/>
                <w:u w:val="single"/>
              </w:rPr>
              <w:t>PESO 40%)</w:t>
            </w:r>
          </w:p>
          <w:p w:rsidR="005D58E2" w:rsidRPr="00404136" w:rsidRDefault="005D58E2" w:rsidP="00B35849">
            <w:pPr>
              <w:tabs>
                <w:tab w:val="left" w:pos="287"/>
              </w:tabs>
              <w:spacing w:after="120"/>
              <w:jc w:val="both"/>
              <w:rPr>
                <w:rFonts w:ascii="Times New Roman" w:hAnsi="Times New Roman"/>
                <w:b/>
                <w:sz w:val="18"/>
                <w:szCs w:val="18"/>
              </w:rPr>
            </w:pPr>
          </w:p>
          <w:p w:rsidR="005D58E2" w:rsidRPr="003C3367" w:rsidRDefault="005D58E2" w:rsidP="00B35849">
            <w:pPr>
              <w:tabs>
                <w:tab w:val="left" w:pos="287"/>
              </w:tabs>
              <w:spacing w:after="120"/>
              <w:jc w:val="both"/>
              <w:rPr>
                <w:rFonts w:ascii="Times New Roman" w:hAnsi="Times New Roman"/>
                <w:b/>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verbali redatti dall’Ufficio competente individuato formalmente dalla Direzione</w:t>
            </w:r>
          </w:p>
        </w:tc>
        <w:tc>
          <w:tcPr>
            <w:tcW w:w="0" w:type="auto"/>
            <w:shd w:val="clear" w:color="auto" w:fill="auto"/>
            <w:vAlign w:val="center"/>
          </w:tcPr>
          <w:p w:rsidR="005D58E2" w:rsidRPr="003C3367" w:rsidRDefault="00404136" w:rsidP="00F80F64">
            <w:pPr>
              <w:tabs>
                <w:tab w:val="left" w:pos="287"/>
              </w:tabs>
              <w:spacing w:after="120"/>
              <w:jc w:val="both"/>
              <w:rPr>
                <w:rFonts w:ascii="Times New Roman" w:hAnsi="Times New Roman"/>
                <w:b/>
                <w:sz w:val="18"/>
                <w:szCs w:val="18"/>
              </w:rPr>
            </w:pPr>
            <w:r w:rsidRPr="00404136">
              <w:rPr>
                <w:rFonts w:ascii="Times New Roman" w:hAnsi="Times New Roman"/>
                <w:b/>
                <w:sz w:val="18"/>
                <w:szCs w:val="18"/>
              </w:rPr>
              <w:t>Procedura di nuova attivazione</w:t>
            </w:r>
          </w:p>
        </w:tc>
      </w:tr>
      <w:tr w:rsidR="005D58E2" w:rsidRPr="00E63330" w:rsidTr="00B35849">
        <w:trPr>
          <w:trHeight w:val="2371"/>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I.4.2 Numero di report inviati dalle Funzioni/Uffici al fine di consentire monitoraggi periodici dello stato d’avanzamento degli obiettivi strategici e operativi previsti dal Piano della Performance (&gt;= 10 – almeno 2 per ogni Struttura Dirigenziale) (Fonte report redatti dall’Ufficio </w:t>
            </w:r>
            <w:proofErr w:type="spellStart"/>
            <w:r w:rsidRPr="003C3367">
              <w:rPr>
                <w:rFonts w:ascii="Times New Roman" w:hAnsi="Times New Roman"/>
                <w:sz w:val="18"/>
                <w:szCs w:val="18"/>
              </w:rPr>
              <w:t>Monit</w:t>
            </w:r>
            <w:proofErr w:type="spellEnd"/>
            <w:r w:rsidRPr="003C3367">
              <w:rPr>
                <w:rFonts w:ascii="Times New Roman" w:hAnsi="Times New Roman"/>
                <w:sz w:val="18"/>
                <w:szCs w:val="18"/>
              </w:rPr>
              <w:t>. e Comunicazione) (</w:t>
            </w:r>
            <w:r w:rsidRPr="003C3367">
              <w:rPr>
                <w:rFonts w:ascii="Times New Roman" w:hAnsi="Times New Roman"/>
                <w:b/>
                <w:sz w:val="18"/>
                <w:szCs w:val="18"/>
                <w:u w:val="single"/>
              </w:rPr>
              <w:t>PESO 60%</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3C3367">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Report redatti dall’Ufficio </w:t>
            </w:r>
            <w:proofErr w:type="spellStart"/>
            <w:r w:rsidRPr="003C3367">
              <w:rPr>
                <w:rFonts w:ascii="Times New Roman" w:hAnsi="Times New Roman"/>
                <w:sz w:val="18"/>
                <w:szCs w:val="18"/>
              </w:rPr>
              <w:t>Monit</w:t>
            </w:r>
            <w:proofErr w:type="spellEnd"/>
            <w:r w:rsidRPr="003C3367">
              <w:rPr>
                <w:rFonts w:ascii="Times New Roman" w:hAnsi="Times New Roman"/>
                <w:sz w:val="18"/>
                <w:szCs w:val="18"/>
              </w:rPr>
              <w:t>. e Comunicazione</w:t>
            </w:r>
          </w:p>
        </w:tc>
        <w:tc>
          <w:tcPr>
            <w:tcW w:w="0" w:type="auto"/>
            <w:shd w:val="clear" w:color="auto" w:fill="auto"/>
            <w:vAlign w:val="center"/>
          </w:tcPr>
          <w:p w:rsidR="00736F6E" w:rsidRDefault="00736F6E" w:rsidP="00736F6E">
            <w:pPr>
              <w:tabs>
                <w:tab w:val="left" w:pos="287"/>
              </w:tabs>
              <w:spacing w:after="120"/>
              <w:rPr>
                <w:rFonts w:ascii="Times New Roman" w:hAnsi="Times New Roman"/>
                <w:sz w:val="18"/>
                <w:szCs w:val="18"/>
              </w:rPr>
            </w:pPr>
            <w:r>
              <w:rPr>
                <w:rFonts w:ascii="Times New Roman" w:hAnsi="Times New Roman"/>
                <w:sz w:val="18"/>
                <w:szCs w:val="18"/>
              </w:rPr>
              <w:t>Anno di rilevazione: 2018</w:t>
            </w:r>
          </w:p>
          <w:p w:rsidR="005D58E2" w:rsidRPr="003C3367" w:rsidRDefault="00736F6E" w:rsidP="00736F6E">
            <w:pPr>
              <w:tabs>
                <w:tab w:val="left" w:pos="287"/>
              </w:tabs>
              <w:spacing w:after="120"/>
              <w:jc w:val="both"/>
              <w:rPr>
                <w:rFonts w:ascii="Times New Roman" w:hAnsi="Times New Roman"/>
                <w:sz w:val="18"/>
                <w:szCs w:val="18"/>
              </w:rPr>
            </w:pPr>
            <w:r>
              <w:rPr>
                <w:rFonts w:ascii="Times New Roman" w:hAnsi="Times New Roman"/>
                <w:sz w:val="18"/>
                <w:szCs w:val="18"/>
              </w:rPr>
              <w:t>Valore:</w:t>
            </w:r>
            <w:r w:rsidR="00D063CA">
              <w:rPr>
                <w:rFonts w:ascii="Times New Roman" w:hAnsi="Times New Roman"/>
                <w:sz w:val="18"/>
                <w:szCs w:val="18"/>
              </w:rPr>
              <w:t xml:space="preserve"> 6 report</w:t>
            </w:r>
          </w:p>
        </w:tc>
      </w:tr>
      <w:tr w:rsidR="005D58E2" w:rsidRPr="00E63330" w:rsidTr="00B35849">
        <w:trPr>
          <w:trHeight w:val="1088"/>
        </w:trPr>
        <w:tc>
          <w:tcPr>
            <w:tcW w:w="0" w:type="auto"/>
            <w:vMerge w:val="restart"/>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t>1.5</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 xml:space="preserve">I.1.5.1 </w:t>
            </w:r>
            <w:r w:rsidRPr="003C3367">
              <w:rPr>
                <w:rFonts w:ascii="Times New Roman" w:hAnsi="Times New Roman"/>
                <w:color w:val="000000"/>
                <w:sz w:val="18"/>
                <w:szCs w:val="18"/>
              </w:rPr>
              <w:t xml:space="preserve">Percentuale di ulteriori Misure Di Prevenzione della Corruzione attuate rispetto a quanto previsto nel Piano Anticorruzione </w:t>
            </w:r>
            <w:r w:rsidRPr="003C3367">
              <w:rPr>
                <w:rFonts w:ascii="Times New Roman" w:hAnsi="Times New Roman"/>
                <w:sz w:val="18"/>
                <w:szCs w:val="18"/>
              </w:rPr>
              <w:t>(</w:t>
            </w:r>
            <w:r w:rsidRPr="003C3367">
              <w:rPr>
                <w:rFonts w:ascii="Times New Roman" w:hAnsi="Times New Roman"/>
                <w:b/>
                <w:sz w:val="18"/>
                <w:szCs w:val="18"/>
                <w:u w:val="single"/>
              </w:rPr>
              <w:t xml:space="preserve">peso </w:t>
            </w:r>
            <w:r>
              <w:rPr>
                <w:rFonts w:ascii="Times New Roman" w:hAnsi="Times New Roman"/>
                <w:b/>
                <w:sz w:val="18"/>
                <w:szCs w:val="18"/>
                <w:u w:val="single"/>
              </w:rPr>
              <w:t>8</w:t>
            </w:r>
            <w:r w:rsidRPr="003C3367">
              <w:rPr>
                <w:rFonts w:ascii="Times New Roman" w:hAnsi="Times New Roman"/>
                <w:b/>
                <w:sz w:val="18"/>
                <w:szCs w:val="18"/>
                <w:u w:val="single"/>
              </w:rPr>
              <w:t>0%</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rsidR="00736F6E" w:rsidRDefault="00736F6E" w:rsidP="00736F6E">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36F6E" w:rsidP="00736F6E">
            <w:pPr>
              <w:tabs>
                <w:tab w:val="left" w:pos="287"/>
              </w:tabs>
              <w:spacing w:after="120"/>
              <w:jc w:val="both"/>
              <w:rPr>
                <w:rFonts w:ascii="Times New Roman" w:hAnsi="Times New Roman"/>
                <w:sz w:val="18"/>
                <w:szCs w:val="18"/>
              </w:rPr>
            </w:pPr>
            <w:r>
              <w:rPr>
                <w:rFonts w:ascii="Times New Roman" w:hAnsi="Times New Roman"/>
                <w:sz w:val="18"/>
                <w:szCs w:val="18"/>
              </w:rPr>
              <w:t>Valore</w:t>
            </w:r>
            <w:r w:rsidR="00D063CA">
              <w:rPr>
                <w:rFonts w:ascii="Times New Roman" w:hAnsi="Times New Roman"/>
                <w:sz w:val="18"/>
                <w:szCs w:val="18"/>
              </w:rPr>
              <w:t xml:space="preserve">: </w:t>
            </w:r>
            <w:r w:rsidR="00F80F64">
              <w:rPr>
                <w:rFonts w:ascii="Times New Roman" w:hAnsi="Times New Roman"/>
                <w:sz w:val="18"/>
                <w:szCs w:val="18"/>
              </w:rPr>
              <w:t>66%</w:t>
            </w:r>
          </w:p>
        </w:tc>
      </w:tr>
      <w:tr w:rsidR="005D58E2" w:rsidRPr="00E63330" w:rsidTr="00B35849">
        <w:trPr>
          <w:trHeight w:val="1088"/>
        </w:trPr>
        <w:tc>
          <w:tcPr>
            <w:tcW w:w="0" w:type="auto"/>
            <w:vMerge/>
            <w:vAlign w:val="center"/>
          </w:tcPr>
          <w:p w:rsidR="005D58E2" w:rsidRPr="0096592E"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736F6E" w:rsidRDefault="005D58E2" w:rsidP="00CB3C4F">
            <w:pPr>
              <w:tabs>
                <w:tab w:val="left" w:pos="287"/>
              </w:tabs>
              <w:spacing w:after="120"/>
              <w:jc w:val="both"/>
              <w:rPr>
                <w:rFonts w:ascii="Times New Roman" w:hAnsi="Times New Roman"/>
                <w:b/>
                <w:sz w:val="18"/>
                <w:szCs w:val="18"/>
              </w:rPr>
            </w:pPr>
            <w:r w:rsidRPr="00736F6E">
              <w:rPr>
                <w:rFonts w:ascii="Times New Roman" w:hAnsi="Times New Roman"/>
                <w:b/>
                <w:sz w:val="18"/>
                <w:szCs w:val="18"/>
              </w:rPr>
              <w:t>I.1.5.2 Numero di report inviati dalle Funzioni/Uffici al fine di consentire monitoraggi periodici con riferimento all’attuazione delle misure previste nel</w:t>
            </w:r>
            <w:r w:rsidR="00CB3C4F">
              <w:rPr>
                <w:rFonts w:ascii="Times New Roman" w:hAnsi="Times New Roman"/>
                <w:b/>
                <w:sz w:val="18"/>
                <w:szCs w:val="18"/>
              </w:rPr>
              <w:t xml:space="preserve"> </w:t>
            </w:r>
            <w:r w:rsidRPr="00736F6E">
              <w:rPr>
                <w:rFonts w:ascii="Times New Roman" w:hAnsi="Times New Roman"/>
                <w:b/>
                <w:sz w:val="18"/>
                <w:szCs w:val="18"/>
              </w:rPr>
              <w:t>Piano anticorruzione e trasparenza) (Fonte) (</w:t>
            </w:r>
            <w:r w:rsidRPr="00736F6E">
              <w:rPr>
                <w:rFonts w:ascii="Times New Roman" w:hAnsi="Times New Roman"/>
                <w:b/>
                <w:sz w:val="18"/>
                <w:szCs w:val="18"/>
                <w:u w:val="single"/>
              </w:rPr>
              <w:t xml:space="preserve">peso </w:t>
            </w:r>
            <w:r w:rsidR="00CB3C4F">
              <w:rPr>
                <w:rFonts w:ascii="Times New Roman" w:hAnsi="Times New Roman"/>
                <w:b/>
                <w:sz w:val="18"/>
                <w:szCs w:val="18"/>
                <w:u w:val="single"/>
              </w:rPr>
              <w:t>2</w:t>
            </w:r>
            <w:r w:rsidRPr="00736F6E">
              <w:rPr>
                <w:rFonts w:ascii="Times New Roman" w:hAnsi="Times New Roman"/>
                <w:b/>
                <w:sz w:val="18"/>
                <w:szCs w:val="18"/>
                <w:u w:val="single"/>
              </w:rPr>
              <w:t>0%</w:t>
            </w:r>
            <w:r w:rsidRPr="00736F6E">
              <w:rPr>
                <w:rFonts w:ascii="Times New Roman" w:hAnsi="Times New Roman"/>
                <w:b/>
                <w:sz w:val="18"/>
                <w:szCs w:val="18"/>
              </w:rPr>
              <w:t>);</w:t>
            </w:r>
          </w:p>
        </w:tc>
        <w:tc>
          <w:tcPr>
            <w:tcW w:w="0" w:type="auto"/>
            <w:shd w:val="clear" w:color="auto" w:fill="auto"/>
            <w:vAlign w:val="center"/>
          </w:tcPr>
          <w:p w:rsidR="005D58E2" w:rsidRPr="00736F6E" w:rsidRDefault="005D58E2" w:rsidP="00B35849">
            <w:pPr>
              <w:tabs>
                <w:tab w:val="left" w:pos="287"/>
              </w:tabs>
              <w:spacing w:after="120"/>
              <w:jc w:val="both"/>
              <w:rPr>
                <w:rFonts w:ascii="Times New Roman" w:hAnsi="Times New Roman"/>
                <w:b/>
                <w:color w:val="000000"/>
                <w:sz w:val="18"/>
                <w:szCs w:val="18"/>
              </w:rPr>
            </w:pPr>
            <w:r w:rsidRPr="00736F6E">
              <w:rPr>
                <w:rFonts w:ascii="Times New Roman" w:hAnsi="Times New Roman"/>
                <w:b/>
                <w:sz w:val="18"/>
                <w:szCs w:val="18"/>
              </w:rPr>
              <w:t>Riscontrabile dai report redatti dall’Ufficio Monit</w:t>
            </w:r>
            <w:r w:rsidR="00CB3C4F">
              <w:rPr>
                <w:rFonts w:ascii="Times New Roman" w:hAnsi="Times New Roman"/>
                <w:b/>
                <w:sz w:val="18"/>
                <w:szCs w:val="18"/>
              </w:rPr>
              <w:t>oraggio</w:t>
            </w:r>
            <w:r w:rsidRPr="00736F6E">
              <w:rPr>
                <w:rFonts w:ascii="Times New Roman" w:hAnsi="Times New Roman"/>
                <w:b/>
                <w:sz w:val="18"/>
                <w:szCs w:val="18"/>
              </w:rPr>
              <w:t xml:space="preserve"> e Comunicazione</w:t>
            </w:r>
          </w:p>
        </w:tc>
        <w:tc>
          <w:tcPr>
            <w:tcW w:w="0" w:type="auto"/>
            <w:shd w:val="clear" w:color="auto" w:fill="auto"/>
            <w:vAlign w:val="center"/>
          </w:tcPr>
          <w:p w:rsidR="005D58E2" w:rsidRPr="00736F6E" w:rsidRDefault="00D063CA" w:rsidP="00D063CA">
            <w:pPr>
              <w:tabs>
                <w:tab w:val="left" w:pos="287"/>
              </w:tabs>
              <w:spacing w:after="120"/>
              <w:jc w:val="both"/>
              <w:rPr>
                <w:rFonts w:ascii="Times New Roman" w:hAnsi="Times New Roman"/>
                <w:b/>
                <w:sz w:val="18"/>
                <w:szCs w:val="18"/>
              </w:rPr>
            </w:pPr>
            <w:r w:rsidRPr="00736F6E">
              <w:rPr>
                <w:rFonts w:ascii="Times New Roman" w:hAnsi="Times New Roman"/>
                <w:b/>
                <w:sz w:val="18"/>
                <w:szCs w:val="18"/>
              </w:rPr>
              <w:t>Procedura di nuova attivazione</w:t>
            </w:r>
          </w:p>
        </w:tc>
      </w:tr>
      <w:tr w:rsidR="005D58E2" w:rsidRPr="00E63330" w:rsidTr="00B35849">
        <w:trPr>
          <w:trHeight w:val="900"/>
        </w:trPr>
        <w:tc>
          <w:tcPr>
            <w:tcW w:w="0" w:type="auto"/>
            <w:vAlign w:val="center"/>
          </w:tcPr>
          <w:p w:rsidR="005D58E2" w:rsidRPr="003C3367" w:rsidRDefault="005D58E2" w:rsidP="00B35849">
            <w:pPr>
              <w:tabs>
                <w:tab w:val="left" w:pos="287"/>
              </w:tabs>
              <w:spacing w:after="120"/>
              <w:jc w:val="center"/>
              <w:rPr>
                <w:rFonts w:ascii="Times New Roman" w:hAnsi="Times New Roman"/>
                <w:sz w:val="18"/>
                <w:szCs w:val="18"/>
              </w:rPr>
            </w:pPr>
            <w:r w:rsidRPr="003C3367">
              <w:rPr>
                <w:rFonts w:ascii="Times New Roman" w:hAnsi="Times New Roman"/>
                <w:sz w:val="18"/>
                <w:szCs w:val="18"/>
              </w:rPr>
              <w:t>1.6</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w:t>
            </w:r>
            <w:r w:rsidRPr="003C3367">
              <w:rPr>
                <w:rFonts w:ascii="Times New Roman" w:hAnsi="Times New Roman"/>
                <w:b/>
                <w:sz w:val="18"/>
                <w:szCs w:val="18"/>
              </w:rPr>
              <w:t>(peso 100%)</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sz w:val="18"/>
                <w:szCs w:val="18"/>
              </w:rPr>
            </w:pPr>
            <w:r w:rsidRPr="003C3367">
              <w:rPr>
                <w:rFonts w:ascii="Times New Roman" w:hAnsi="Times New Roman"/>
                <w:sz w:val="18"/>
                <w:szCs w:val="18"/>
              </w:rPr>
              <w:t>Riscontrabile dalle fonti indicate per ogni indicatore nel PPCT</w:t>
            </w:r>
          </w:p>
        </w:tc>
        <w:tc>
          <w:tcPr>
            <w:tcW w:w="0" w:type="auto"/>
            <w:shd w:val="clear" w:color="auto" w:fill="auto"/>
            <w:vAlign w:val="center"/>
          </w:tcPr>
          <w:p w:rsidR="00736F6E" w:rsidRDefault="00736F6E" w:rsidP="00736F6E">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36F6E" w:rsidP="00736F6E">
            <w:pPr>
              <w:tabs>
                <w:tab w:val="left" w:pos="287"/>
              </w:tabs>
              <w:spacing w:after="120"/>
              <w:jc w:val="both"/>
              <w:rPr>
                <w:rFonts w:ascii="Times New Roman" w:hAnsi="Times New Roman"/>
                <w:sz w:val="18"/>
                <w:szCs w:val="18"/>
              </w:rPr>
            </w:pPr>
            <w:r>
              <w:rPr>
                <w:rFonts w:ascii="Times New Roman" w:hAnsi="Times New Roman"/>
                <w:sz w:val="18"/>
                <w:szCs w:val="18"/>
              </w:rPr>
              <w:t xml:space="preserve">Valore: </w:t>
            </w:r>
            <w:r w:rsidR="00F80F64">
              <w:rPr>
                <w:rFonts w:ascii="Times New Roman" w:hAnsi="Times New Roman"/>
                <w:sz w:val="18"/>
                <w:szCs w:val="18"/>
              </w:rPr>
              <w:t>85,60%</w:t>
            </w:r>
          </w:p>
        </w:tc>
      </w:tr>
      <w:tr w:rsidR="005D58E2" w:rsidRPr="00E63330" w:rsidTr="00B35849">
        <w:trPr>
          <w:trHeight w:val="1082"/>
        </w:trPr>
        <w:tc>
          <w:tcPr>
            <w:tcW w:w="0" w:type="auto"/>
            <w:vMerge w:val="restart"/>
            <w:vAlign w:val="center"/>
          </w:tcPr>
          <w:p w:rsidR="005D58E2" w:rsidRPr="003C3367" w:rsidRDefault="00736F6E" w:rsidP="00B35849">
            <w:pPr>
              <w:tabs>
                <w:tab w:val="left" w:pos="287"/>
              </w:tabs>
              <w:spacing w:after="120"/>
              <w:jc w:val="center"/>
              <w:rPr>
                <w:rFonts w:ascii="Times New Roman" w:hAnsi="Times New Roman"/>
                <w:sz w:val="18"/>
                <w:szCs w:val="18"/>
              </w:rPr>
            </w:pPr>
            <w:r>
              <w:rPr>
                <w:rFonts w:ascii="Times New Roman" w:hAnsi="Times New Roman"/>
                <w:sz w:val="18"/>
                <w:szCs w:val="18"/>
              </w:rPr>
              <w:t>2.1</w:t>
            </w:r>
          </w:p>
        </w:tc>
        <w:tc>
          <w:tcPr>
            <w:tcW w:w="0" w:type="auto"/>
            <w:shd w:val="clear" w:color="auto" w:fill="auto"/>
            <w:vAlign w:val="center"/>
          </w:tcPr>
          <w:p w:rsidR="005D58E2" w:rsidRPr="00736F6E"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 xml:space="preserve">I.2.1.1 </w:t>
            </w:r>
            <w:r w:rsidRPr="00736F6E">
              <w:rPr>
                <w:rFonts w:ascii="Times New Roman" w:hAnsi="Times New Roman"/>
                <w:b/>
                <w:sz w:val="18"/>
                <w:szCs w:val="18"/>
              </w:rPr>
              <w:t>Numero di Circolari adottati dalle Funzioni (&gt;=7)</w:t>
            </w:r>
          </w:p>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i/>
                <w:sz w:val="18"/>
                <w:szCs w:val="18"/>
              </w:rPr>
              <w:t>(Riscontrabili dal Protocollo dell’Ente</w:t>
            </w:r>
            <w:r w:rsidRPr="003C3367">
              <w:rPr>
                <w:rFonts w:ascii="Times New Roman" w:hAnsi="Times New Roman"/>
                <w:b/>
                <w:sz w:val="18"/>
                <w:szCs w:val="18"/>
              </w:rPr>
              <w:t>) (</w:t>
            </w:r>
            <w:r w:rsidRPr="003C3367">
              <w:rPr>
                <w:rFonts w:ascii="Times New Roman" w:hAnsi="Times New Roman"/>
                <w:b/>
                <w:sz w:val="18"/>
                <w:szCs w:val="18"/>
                <w:u w:val="single"/>
              </w:rPr>
              <w:t>Peso 50%</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i/>
                <w:sz w:val="18"/>
                <w:szCs w:val="18"/>
              </w:rPr>
              <w:t>Protocollo dell’Ente</w:t>
            </w:r>
          </w:p>
        </w:tc>
        <w:tc>
          <w:tcPr>
            <w:tcW w:w="0" w:type="auto"/>
            <w:shd w:val="clear" w:color="auto" w:fill="auto"/>
            <w:vAlign w:val="center"/>
          </w:tcPr>
          <w:p w:rsidR="00736F6E" w:rsidRPr="00736F6E" w:rsidRDefault="00736F6E" w:rsidP="00736F6E">
            <w:pPr>
              <w:tabs>
                <w:tab w:val="left" w:pos="287"/>
              </w:tabs>
              <w:spacing w:after="120"/>
              <w:rPr>
                <w:rFonts w:ascii="Times New Roman" w:hAnsi="Times New Roman"/>
                <w:b/>
                <w:sz w:val="18"/>
                <w:szCs w:val="18"/>
              </w:rPr>
            </w:pPr>
            <w:r w:rsidRPr="00736F6E">
              <w:rPr>
                <w:rFonts w:ascii="Times New Roman" w:hAnsi="Times New Roman"/>
                <w:b/>
                <w:sz w:val="18"/>
                <w:szCs w:val="18"/>
              </w:rPr>
              <w:t>Anno di rilevazione: 2018</w:t>
            </w:r>
          </w:p>
          <w:p w:rsidR="005D58E2" w:rsidRPr="003C3367" w:rsidRDefault="00736F6E" w:rsidP="00445E9D">
            <w:pPr>
              <w:tabs>
                <w:tab w:val="left" w:pos="287"/>
              </w:tabs>
              <w:spacing w:after="120"/>
              <w:jc w:val="both"/>
              <w:rPr>
                <w:rFonts w:ascii="Times New Roman" w:hAnsi="Times New Roman"/>
                <w:b/>
                <w:sz w:val="18"/>
                <w:szCs w:val="18"/>
              </w:rPr>
            </w:pPr>
            <w:r w:rsidRPr="00736F6E">
              <w:rPr>
                <w:rFonts w:ascii="Times New Roman" w:hAnsi="Times New Roman"/>
                <w:b/>
                <w:sz w:val="18"/>
                <w:szCs w:val="18"/>
              </w:rPr>
              <w:t xml:space="preserve">Valore: </w:t>
            </w:r>
            <w:r w:rsidR="00445E9D">
              <w:rPr>
                <w:rFonts w:ascii="Times New Roman" w:hAnsi="Times New Roman"/>
                <w:b/>
                <w:sz w:val="18"/>
                <w:szCs w:val="18"/>
              </w:rPr>
              <w:t>4</w:t>
            </w:r>
            <w:r w:rsidR="00862710">
              <w:rPr>
                <w:rFonts w:ascii="Times New Roman" w:hAnsi="Times New Roman"/>
                <w:b/>
                <w:sz w:val="18"/>
                <w:szCs w:val="18"/>
              </w:rPr>
              <w:t xml:space="preserve"> </w:t>
            </w:r>
          </w:p>
        </w:tc>
      </w:tr>
      <w:tr w:rsidR="005D58E2" w:rsidRPr="00E63330" w:rsidTr="00B35849">
        <w:trPr>
          <w:trHeight w:val="704"/>
        </w:trPr>
        <w:tc>
          <w:tcPr>
            <w:tcW w:w="0" w:type="auto"/>
            <w:vMerge/>
            <w:vAlign w:val="center"/>
          </w:tcPr>
          <w:p w:rsidR="005D58E2" w:rsidRPr="003C3367"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rsidR="005D58E2" w:rsidRPr="003C3367" w:rsidRDefault="005D58E2" w:rsidP="00B35849">
            <w:pPr>
              <w:tabs>
                <w:tab w:val="left" w:pos="287"/>
              </w:tabs>
              <w:spacing w:after="120"/>
              <w:rPr>
                <w:rFonts w:ascii="Times New Roman" w:hAnsi="Times New Roman"/>
                <w:b/>
                <w:sz w:val="18"/>
                <w:szCs w:val="18"/>
              </w:rPr>
            </w:pPr>
            <w:r w:rsidRPr="003C3367">
              <w:rPr>
                <w:rFonts w:ascii="Times New Roman" w:hAnsi="Times New Roman"/>
                <w:b/>
                <w:sz w:val="18"/>
                <w:szCs w:val="18"/>
              </w:rPr>
              <w:t>I.2.1.2 Numero di Manuali operativi adottati dalle Funzioni (&gt;=10) (</w:t>
            </w:r>
            <w:r w:rsidRPr="003C3367">
              <w:rPr>
                <w:rFonts w:ascii="Times New Roman" w:hAnsi="Times New Roman"/>
                <w:b/>
                <w:i/>
                <w:sz w:val="18"/>
                <w:szCs w:val="18"/>
              </w:rPr>
              <w:t>Riscontrabili dal Registro dei Decreti</w:t>
            </w:r>
            <w:r w:rsidRPr="003C3367">
              <w:rPr>
                <w:rFonts w:ascii="Times New Roman" w:hAnsi="Times New Roman"/>
                <w:b/>
                <w:sz w:val="18"/>
                <w:szCs w:val="18"/>
              </w:rPr>
              <w:t>) (</w:t>
            </w:r>
            <w:r w:rsidRPr="003C3367">
              <w:rPr>
                <w:rFonts w:ascii="Times New Roman" w:hAnsi="Times New Roman"/>
                <w:b/>
                <w:sz w:val="18"/>
                <w:szCs w:val="18"/>
                <w:u w:val="single"/>
              </w:rPr>
              <w:t>Peso 50%</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B35849">
            <w:pPr>
              <w:tabs>
                <w:tab w:val="left" w:pos="287"/>
              </w:tabs>
              <w:spacing w:after="120"/>
              <w:rPr>
                <w:rFonts w:ascii="Times New Roman" w:hAnsi="Times New Roman"/>
                <w:b/>
                <w:sz w:val="18"/>
                <w:szCs w:val="18"/>
              </w:rPr>
            </w:pPr>
            <w:r w:rsidRPr="003C3367">
              <w:rPr>
                <w:rFonts w:ascii="Times New Roman" w:hAnsi="Times New Roman"/>
                <w:b/>
                <w:i/>
                <w:sz w:val="18"/>
                <w:szCs w:val="18"/>
              </w:rPr>
              <w:t>Riscontrabili dal Registro dei Decreti</w:t>
            </w:r>
          </w:p>
        </w:tc>
        <w:tc>
          <w:tcPr>
            <w:tcW w:w="0" w:type="auto"/>
            <w:shd w:val="clear" w:color="auto" w:fill="auto"/>
            <w:vAlign w:val="center"/>
          </w:tcPr>
          <w:p w:rsidR="00736F6E" w:rsidRPr="00736F6E" w:rsidRDefault="00736F6E" w:rsidP="00736F6E">
            <w:pPr>
              <w:tabs>
                <w:tab w:val="left" w:pos="287"/>
              </w:tabs>
              <w:spacing w:after="120"/>
              <w:rPr>
                <w:rFonts w:ascii="Times New Roman" w:hAnsi="Times New Roman"/>
                <w:b/>
                <w:sz w:val="18"/>
                <w:szCs w:val="18"/>
              </w:rPr>
            </w:pPr>
            <w:r w:rsidRPr="00736F6E">
              <w:rPr>
                <w:rFonts w:ascii="Times New Roman" w:hAnsi="Times New Roman"/>
                <w:b/>
                <w:sz w:val="18"/>
                <w:szCs w:val="18"/>
              </w:rPr>
              <w:t>Anno di rilevazione: 2018</w:t>
            </w:r>
          </w:p>
          <w:p w:rsidR="005D58E2" w:rsidRPr="003C3367" w:rsidRDefault="00736F6E" w:rsidP="00EE3678">
            <w:pPr>
              <w:tabs>
                <w:tab w:val="left" w:pos="287"/>
              </w:tabs>
              <w:spacing w:after="120"/>
              <w:rPr>
                <w:rFonts w:ascii="Times New Roman" w:hAnsi="Times New Roman"/>
                <w:b/>
                <w:sz w:val="18"/>
                <w:szCs w:val="18"/>
              </w:rPr>
            </w:pPr>
            <w:r w:rsidRPr="00736F6E">
              <w:rPr>
                <w:rFonts w:ascii="Times New Roman" w:hAnsi="Times New Roman"/>
                <w:b/>
                <w:sz w:val="18"/>
                <w:szCs w:val="18"/>
              </w:rPr>
              <w:t xml:space="preserve">Valore: </w:t>
            </w:r>
            <w:r w:rsidR="00EE3678">
              <w:rPr>
                <w:rFonts w:ascii="Times New Roman" w:hAnsi="Times New Roman"/>
                <w:b/>
                <w:sz w:val="18"/>
                <w:szCs w:val="18"/>
              </w:rPr>
              <w:t>7</w:t>
            </w:r>
          </w:p>
        </w:tc>
      </w:tr>
      <w:tr w:rsidR="005D58E2" w:rsidRPr="00E63330" w:rsidTr="00B35849">
        <w:tc>
          <w:tcPr>
            <w:tcW w:w="0" w:type="auto"/>
            <w:vAlign w:val="center"/>
          </w:tcPr>
          <w:p w:rsidR="005D58E2" w:rsidRPr="003C3367" w:rsidRDefault="005D58E2" w:rsidP="00B35849">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3.1</w:t>
            </w:r>
          </w:p>
        </w:tc>
        <w:tc>
          <w:tcPr>
            <w:tcW w:w="0" w:type="auto"/>
            <w:shd w:val="clear" w:color="auto" w:fill="auto"/>
            <w:vAlign w:val="center"/>
          </w:tcPr>
          <w:p w:rsidR="005D58E2" w:rsidRPr="00F80F64"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I.3.1.1 Messa in esercizio del nuovo software per la protocollazione informatica e</w:t>
            </w:r>
            <w:r w:rsidR="00D90F50">
              <w:rPr>
                <w:rFonts w:ascii="Times New Roman" w:hAnsi="Times New Roman"/>
                <w:b/>
                <w:sz w:val="18"/>
                <w:szCs w:val="18"/>
              </w:rPr>
              <w:t>/o</w:t>
            </w:r>
            <w:r w:rsidRPr="003C3367">
              <w:rPr>
                <w:rFonts w:ascii="Times New Roman" w:hAnsi="Times New Roman"/>
                <w:b/>
                <w:sz w:val="18"/>
                <w:szCs w:val="18"/>
              </w:rPr>
              <w:t xml:space="preserve"> la gestione documentale</w:t>
            </w:r>
          </w:p>
          <w:p w:rsidR="005D58E2" w:rsidRPr="003C3367" w:rsidRDefault="005D58E2" w:rsidP="00B35849">
            <w:pPr>
              <w:tabs>
                <w:tab w:val="left" w:pos="287"/>
              </w:tabs>
              <w:spacing w:after="120"/>
              <w:jc w:val="both"/>
              <w:rPr>
                <w:rFonts w:ascii="Times New Roman" w:hAnsi="Times New Roman"/>
                <w:b/>
                <w:sz w:val="18"/>
                <w:szCs w:val="18"/>
              </w:rPr>
            </w:pPr>
            <w:r w:rsidRPr="003C3367">
              <w:rPr>
                <w:rFonts w:ascii="Times New Roman" w:hAnsi="Times New Roman"/>
                <w:b/>
                <w:sz w:val="18"/>
                <w:szCs w:val="18"/>
              </w:rPr>
              <w:t>(</w:t>
            </w:r>
            <w:r w:rsidRPr="003C3367">
              <w:rPr>
                <w:rFonts w:ascii="Times New Roman" w:hAnsi="Times New Roman"/>
                <w:b/>
                <w:i/>
                <w:sz w:val="18"/>
                <w:szCs w:val="18"/>
              </w:rPr>
              <w:t>Riscontabile dal sistema di protocollo dell’ente</w:t>
            </w:r>
            <w:r w:rsidRPr="003C3367">
              <w:rPr>
                <w:rFonts w:ascii="Times New Roman" w:hAnsi="Times New Roman"/>
                <w:b/>
                <w:sz w:val="18"/>
                <w:szCs w:val="18"/>
              </w:rPr>
              <w:t>) (</w:t>
            </w:r>
            <w:r w:rsidRPr="003C3367">
              <w:rPr>
                <w:rFonts w:ascii="Times New Roman" w:hAnsi="Times New Roman"/>
                <w:b/>
                <w:sz w:val="18"/>
                <w:szCs w:val="18"/>
                <w:u w:val="single"/>
              </w:rPr>
              <w:t>Peso: 100%</w:t>
            </w:r>
            <w:r w:rsidRPr="003C3367">
              <w:rPr>
                <w:rFonts w:ascii="Times New Roman" w:hAnsi="Times New Roman"/>
                <w:b/>
                <w:sz w:val="18"/>
                <w:szCs w:val="18"/>
              </w:rPr>
              <w:t>)</w:t>
            </w:r>
          </w:p>
        </w:tc>
        <w:tc>
          <w:tcPr>
            <w:tcW w:w="0" w:type="auto"/>
            <w:shd w:val="clear" w:color="auto" w:fill="auto"/>
            <w:vAlign w:val="center"/>
          </w:tcPr>
          <w:p w:rsidR="005D58E2" w:rsidRPr="003C3367" w:rsidRDefault="005D58E2" w:rsidP="003C3367">
            <w:pPr>
              <w:tabs>
                <w:tab w:val="left" w:pos="287"/>
              </w:tabs>
              <w:spacing w:after="120"/>
              <w:jc w:val="both"/>
              <w:rPr>
                <w:rFonts w:ascii="Times New Roman" w:hAnsi="Times New Roman"/>
                <w:b/>
                <w:sz w:val="18"/>
                <w:szCs w:val="18"/>
              </w:rPr>
            </w:pPr>
            <w:r w:rsidRPr="003C3367">
              <w:rPr>
                <w:rFonts w:ascii="Times New Roman" w:hAnsi="Times New Roman"/>
                <w:b/>
                <w:i/>
                <w:sz w:val="18"/>
                <w:szCs w:val="18"/>
              </w:rPr>
              <w:t>Riscontabile dal sistema di protocollo dell’ente</w:t>
            </w:r>
          </w:p>
        </w:tc>
        <w:tc>
          <w:tcPr>
            <w:tcW w:w="0" w:type="auto"/>
            <w:shd w:val="clear" w:color="auto" w:fill="auto"/>
            <w:vAlign w:val="center"/>
          </w:tcPr>
          <w:p w:rsidR="005D58E2" w:rsidRPr="003C3367" w:rsidRDefault="00F80F64" w:rsidP="00B35849">
            <w:pPr>
              <w:autoSpaceDE w:val="0"/>
              <w:autoSpaceDN w:val="0"/>
              <w:adjustRightInd w:val="0"/>
              <w:spacing w:after="0"/>
              <w:jc w:val="both"/>
              <w:rPr>
                <w:rFonts w:ascii="Times New Roman" w:hAnsi="Times New Roman"/>
                <w:b/>
                <w:sz w:val="18"/>
                <w:szCs w:val="18"/>
              </w:rPr>
            </w:pPr>
            <w:r w:rsidRPr="00F80F64">
              <w:rPr>
                <w:rFonts w:ascii="Times New Roman" w:hAnsi="Times New Roman"/>
                <w:b/>
                <w:sz w:val="18"/>
                <w:szCs w:val="18"/>
              </w:rPr>
              <w:t>Nuova attività</w:t>
            </w:r>
          </w:p>
        </w:tc>
      </w:tr>
      <w:tr w:rsidR="005D58E2" w:rsidRPr="00E63330" w:rsidTr="00B35849">
        <w:tc>
          <w:tcPr>
            <w:tcW w:w="0" w:type="auto"/>
            <w:vAlign w:val="center"/>
          </w:tcPr>
          <w:p w:rsidR="005D58E2" w:rsidRPr="003C3367" w:rsidRDefault="005D58E2" w:rsidP="00B35849">
            <w:pPr>
              <w:autoSpaceDE w:val="0"/>
              <w:autoSpaceDN w:val="0"/>
              <w:adjustRightInd w:val="0"/>
              <w:spacing w:after="0"/>
              <w:jc w:val="center"/>
              <w:rPr>
                <w:rFonts w:ascii="Times New Roman" w:hAnsi="Times New Roman"/>
                <w:sz w:val="18"/>
                <w:szCs w:val="18"/>
              </w:rPr>
            </w:pPr>
            <w:r w:rsidRPr="003C3367">
              <w:rPr>
                <w:rFonts w:ascii="Times New Roman" w:hAnsi="Times New Roman"/>
                <w:sz w:val="18"/>
                <w:szCs w:val="18"/>
              </w:rPr>
              <w:t>3.2</w:t>
            </w:r>
          </w:p>
        </w:tc>
        <w:tc>
          <w:tcPr>
            <w:tcW w:w="0" w:type="auto"/>
            <w:shd w:val="clear" w:color="auto" w:fill="auto"/>
            <w:vAlign w:val="center"/>
          </w:tcPr>
          <w:p w:rsidR="005D58E2" w:rsidRPr="003C3367" w:rsidRDefault="005D58E2" w:rsidP="00B35849">
            <w:pPr>
              <w:autoSpaceDE w:val="0"/>
              <w:autoSpaceDN w:val="0"/>
              <w:adjustRightInd w:val="0"/>
              <w:spacing w:after="0"/>
              <w:jc w:val="both"/>
              <w:rPr>
                <w:rFonts w:ascii="Times New Roman" w:hAnsi="Times New Roman"/>
                <w:b/>
                <w:sz w:val="18"/>
                <w:szCs w:val="18"/>
              </w:rPr>
            </w:pPr>
            <w:r w:rsidRPr="003C3367">
              <w:rPr>
                <w:rFonts w:ascii="Times New Roman" w:hAnsi="Times New Roman"/>
                <w:sz w:val="18"/>
                <w:szCs w:val="18"/>
              </w:rPr>
              <w:t>I.1.3.1 Numero di domini della ISO 27002 per i quali i Sistema Informativo dell’ARCEA è ritenuto sufficientemente adeguato</w:t>
            </w:r>
            <w:r w:rsidR="00210CA9">
              <w:rPr>
                <w:rFonts w:ascii="Times New Roman" w:hAnsi="Times New Roman"/>
                <w:sz w:val="18"/>
                <w:szCs w:val="18"/>
              </w:rPr>
              <w:t xml:space="preserve"> </w:t>
            </w:r>
            <w:r w:rsidRPr="003C3367">
              <w:rPr>
                <w:rFonts w:ascii="Times New Roman" w:hAnsi="Times New Roman"/>
                <w:sz w:val="18"/>
                <w:szCs w:val="18"/>
              </w:rPr>
              <w:t>(</w:t>
            </w:r>
            <w:r w:rsidRPr="003C3367">
              <w:rPr>
                <w:rFonts w:ascii="Times New Roman" w:hAnsi="Times New Roman"/>
                <w:sz w:val="18"/>
                <w:szCs w:val="18"/>
                <w:u w:val="single"/>
              </w:rPr>
              <w:t>peso 100%</w:t>
            </w:r>
            <w:r w:rsidRPr="003C3367">
              <w:rPr>
                <w:rFonts w:ascii="Times New Roman" w:hAnsi="Times New Roman"/>
                <w:sz w:val="18"/>
                <w:szCs w:val="18"/>
              </w:rPr>
              <w:t>)</w:t>
            </w:r>
          </w:p>
        </w:tc>
        <w:tc>
          <w:tcPr>
            <w:tcW w:w="0" w:type="auto"/>
            <w:shd w:val="clear" w:color="auto" w:fill="auto"/>
            <w:vAlign w:val="center"/>
          </w:tcPr>
          <w:p w:rsidR="005D58E2" w:rsidRPr="003C3367" w:rsidRDefault="005D58E2" w:rsidP="00B35849">
            <w:pPr>
              <w:autoSpaceDE w:val="0"/>
              <w:autoSpaceDN w:val="0"/>
              <w:adjustRightInd w:val="0"/>
              <w:spacing w:after="0"/>
              <w:jc w:val="both"/>
              <w:rPr>
                <w:rFonts w:ascii="Times New Roman" w:hAnsi="Times New Roman"/>
                <w:b/>
                <w:i/>
                <w:sz w:val="18"/>
                <w:szCs w:val="18"/>
              </w:rPr>
            </w:pPr>
            <w:r w:rsidRPr="003C3367">
              <w:rPr>
                <w:rFonts w:ascii="Times New Roman" w:hAnsi="Times New Roman"/>
                <w:i/>
                <w:sz w:val="18"/>
                <w:szCs w:val="18"/>
              </w:rPr>
              <w:t>Riscontrabile nella relazione prodotta dall’Organismo di Certificazione dei conti</w:t>
            </w:r>
          </w:p>
        </w:tc>
        <w:tc>
          <w:tcPr>
            <w:tcW w:w="0" w:type="auto"/>
            <w:shd w:val="clear" w:color="auto" w:fill="auto"/>
            <w:vAlign w:val="center"/>
          </w:tcPr>
          <w:p w:rsidR="00736F6E" w:rsidRDefault="00736F6E" w:rsidP="00736F6E">
            <w:pPr>
              <w:tabs>
                <w:tab w:val="left" w:pos="287"/>
              </w:tabs>
              <w:spacing w:after="120"/>
              <w:rPr>
                <w:rFonts w:ascii="Times New Roman" w:hAnsi="Times New Roman"/>
                <w:sz w:val="18"/>
                <w:szCs w:val="18"/>
              </w:rPr>
            </w:pPr>
            <w:r>
              <w:rPr>
                <w:rFonts w:ascii="Times New Roman" w:hAnsi="Times New Roman"/>
                <w:sz w:val="18"/>
                <w:szCs w:val="18"/>
              </w:rPr>
              <w:t>Anno di rilevazione: 2017</w:t>
            </w:r>
          </w:p>
          <w:p w:rsidR="005D58E2" w:rsidRPr="003C3367" w:rsidRDefault="00736F6E" w:rsidP="00736F6E">
            <w:pPr>
              <w:autoSpaceDE w:val="0"/>
              <w:autoSpaceDN w:val="0"/>
              <w:adjustRightInd w:val="0"/>
              <w:spacing w:after="0"/>
              <w:jc w:val="both"/>
              <w:rPr>
                <w:rFonts w:ascii="Times New Roman" w:hAnsi="Times New Roman"/>
                <w:b/>
                <w:sz w:val="18"/>
                <w:szCs w:val="18"/>
              </w:rPr>
            </w:pPr>
            <w:r>
              <w:rPr>
                <w:rFonts w:ascii="Times New Roman" w:hAnsi="Times New Roman"/>
                <w:sz w:val="18"/>
                <w:szCs w:val="18"/>
              </w:rPr>
              <w:t xml:space="preserve">Valore: </w:t>
            </w:r>
            <w:r w:rsidR="00F80F64">
              <w:rPr>
                <w:rFonts w:ascii="Times New Roman" w:hAnsi="Times New Roman"/>
                <w:sz w:val="18"/>
                <w:szCs w:val="18"/>
              </w:rPr>
              <w:t>4</w:t>
            </w:r>
          </w:p>
        </w:tc>
      </w:tr>
    </w:tbl>
    <w:p w:rsidR="005D58E2" w:rsidRDefault="005D58E2" w:rsidP="007B183D">
      <w:pPr>
        <w:autoSpaceDE w:val="0"/>
        <w:autoSpaceDN w:val="0"/>
        <w:adjustRightInd w:val="0"/>
        <w:spacing w:after="0"/>
        <w:rPr>
          <w:rFonts w:ascii="Times New Roman" w:hAnsi="Times New Roman"/>
          <w:b/>
          <w:sz w:val="24"/>
          <w:szCs w:val="24"/>
        </w:rPr>
      </w:pPr>
    </w:p>
    <w:p w:rsidR="001425E2" w:rsidRPr="00E63330" w:rsidRDefault="0096592E"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Questa Amministrazione procederà comunque </w:t>
      </w:r>
      <w:r w:rsidR="00862710">
        <w:rPr>
          <w:rFonts w:ascii="Times New Roman" w:hAnsi="Times New Roman"/>
          <w:sz w:val="24"/>
          <w:szCs w:val="24"/>
        </w:rPr>
        <w:t>entro il</w:t>
      </w:r>
      <w:r>
        <w:rPr>
          <w:rFonts w:ascii="Times New Roman" w:hAnsi="Times New Roman"/>
          <w:sz w:val="24"/>
          <w:szCs w:val="24"/>
        </w:rPr>
        <w:t xml:space="preserve"> 30 giugno 201</w:t>
      </w:r>
      <w:r w:rsidR="00A06362">
        <w:rPr>
          <w:rFonts w:ascii="Times New Roman" w:hAnsi="Times New Roman"/>
          <w:sz w:val="24"/>
          <w:szCs w:val="24"/>
        </w:rPr>
        <w:t>9</w:t>
      </w:r>
      <w:r>
        <w:rPr>
          <w:rFonts w:ascii="Times New Roman" w:hAnsi="Times New Roman"/>
          <w:sz w:val="24"/>
          <w:szCs w:val="24"/>
        </w:rPr>
        <w:t xml:space="preserve"> all’aggiornamento</w:t>
      </w:r>
      <w:r w:rsidR="00862710">
        <w:rPr>
          <w:rFonts w:ascii="Times New Roman" w:hAnsi="Times New Roman"/>
          <w:sz w:val="24"/>
          <w:szCs w:val="24"/>
        </w:rPr>
        <w:t>, laddove necessario,</w:t>
      </w:r>
      <w:r>
        <w:rPr>
          <w:rFonts w:ascii="Times New Roman" w:hAnsi="Times New Roman"/>
          <w:sz w:val="24"/>
          <w:szCs w:val="24"/>
        </w:rPr>
        <w:t xml:space="preserve"> definitivo di tutti i target.</w:t>
      </w:r>
    </w:p>
    <w:p w:rsidR="001425E2" w:rsidRPr="00E63330" w:rsidRDefault="001425E2" w:rsidP="00AB3CB1">
      <w:pPr>
        <w:autoSpaceDE w:val="0"/>
        <w:autoSpaceDN w:val="0"/>
        <w:adjustRightInd w:val="0"/>
        <w:spacing w:after="0"/>
        <w:jc w:val="both"/>
        <w:rPr>
          <w:rFonts w:ascii="Times New Roman" w:hAnsi="Times New Roman"/>
          <w:sz w:val="24"/>
          <w:szCs w:val="24"/>
        </w:rPr>
      </w:pPr>
    </w:p>
    <w:p w:rsidR="009D3D5B" w:rsidRPr="00E63330" w:rsidRDefault="0096592E" w:rsidP="00AB3CB1">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Incidenza degli obiettivi di Trasparenza e Prevenzione della Corruzione rispetto alla Performance di ogni Struttura Dirigenziale ed Ufficio afferente</w:t>
      </w:r>
    </w:p>
    <w:p w:rsidR="00EF08C1" w:rsidRPr="00E63330" w:rsidRDefault="00EF08C1" w:rsidP="00AB3CB1">
      <w:pPr>
        <w:autoSpaceDE w:val="0"/>
        <w:autoSpaceDN w:val="0"/>
        <w:adjustRightInd w:val="0"/>
        <w:spacing w:after="0"/>
        <w:jc w:val="both"/>
        <w:rPr>
          <w:rFonts w:ascii="Times New Roman" w:hAnsi="Times New Roman"/>
          <w:b/>
          <w:sz w:val="24"/>
          <w:szCs w:val="24"/>
        </w:rPr>
      </w:pPr>
    </w:p>
    <w:p w:rsidR="002B0B3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ossequio a quanto richiesto dalla normativa vigente e recependo un’osservazione dell’OIV, nelle seguenti tabelle viene ulteriormente esplicitata l’incidenza degli obiettivi di trasparenza e prevenzione della corruzione per ogni Struttura Dirigenziale ed ogni Ufficio ad essa efferente. </w:t>
      </w:r>
    </w:p>
    <w:p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particolare, le informazioni riportate sono direttamente connesse al peso percentuale degli obiettivi operativi 1.5 ed 1.6 che rappresentano, come dettagliato in precedenza, il punto di unione tra il presente Piano delle Performance ed il Piano Triennale per la Prevenzione della Corruzione e della Trasparenza. Si rileva che, attraverso la previsione del coinvolgimento di tutte le strutture in cui si articola l'organizzazione dell'ARCEA negli obiettivi operativi 1.5 e 1.6, che realizzano </w:t>
      </w:r>
      <w:r w:rsidRPr="003C3367">
        <w:rPr>
          <w:rFonts w:ascii="Times New Roman" w:hAnsi="Times New Roman"/>
          <w:sz w:val="24"/>
          <w:szCs w:val="24"/>
        </w:rPr>
        <w:lastRenderedPageBreak/>
        <w:t>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Il grado di raggiungimento dei predetti obiettivi incide direttamente sul conseguimento degli obiettivi di Performance propri di ogni singola struttura e, in proporzione,</w:t>
      </w:r>
      <w:r w:rsidR="00AD0FFB">
        <w:rPr>
          <w:rFonts w:ascii="Times New Roman" w:hAnsi="Times New Roman"/>
          <w:sz w:val="24"/>
          <w:szCs w:val="24"/>
        </w:rPr>
        <w:t xml:space="preserve"> </w:t>
      </w:r>
      <w:r w:rsidRPr="003C3367">
        <w:rPr>
          <w:rFonts w:ascii="Times New Roman" w:hAnsi="Times New Roman"/>
          <w:sz w:val="24"/>
          <w:szCs w:val="24"/>
        </w:rPr>
        <w:t xml:space="preserve">di ogni Ufficio dell'ARCEA. </w:t>
      </w:r>
    </w:p>
    <w:p w:rsidR="009D3D5B" w:rsidRPr="00E63330" w:rsidRDefault="009D3D5B"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8"/>
        <w:gridCol w:w="2403"/>
        <w:gridCol w:w="2321"/>
        <w:gridCol w:w="1400"/>
      </w:tblGrid>
      <w:tr w:rsidR="00DB5E6B" w:rsidRPr="00E63330" w:rsidTr="00155746">
        <w:tc>
          <w:tcPr>
            <w:tcW w:w="1847" w:type="pct"/>
            <w:vAlign w:val="center"/>
          </w:tcPr>
          <w:p w:rsidR="00DB5E6B" w:rsidRPr="00E63330" w:rsidRDefault="0096592E" w:rsidP="00764D22">
            <w:pPr>
              <w:autoSpaceDE w:val="0"/>
              <w:autoSpaceDN w:val="0"/>
              <w:adjustRightInd w:val="0"/>
              <w:spacing w:after="0"/>
              <w:jc w:val="center"/>
              <w:rPr>
                <w:rFonts w:ascii="Times New Roman" w:hAnsi="Times New Roman"/>
                <w:b/>
                <w:sz w:val="20"/>
                <w:szCs w:val="20"/>
              </w:rPr>
            </w:pPr>
            <w:r w:rsidRPr="003C3367">
              <w:rPr>
                <w:rFonts w:ascii="Times New Roman" w:hAnsi="Times New Roman"/>
                <w:b/>
                <w:sz w:val="20"/>
                <w:szCs w:val="20"/>
              </w:rPr>
              <w:t>Struttura</w:t>
            </w:r>
          </w:p>
        </w:tc>
        <w:tc>
          <w:tcPr>
            <w:tcW w:w="1237" w:type="pct"/>
            <w:vAlign w:val="center"/>
          </w:tcPr>
          <w:p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Obiettivi di Trasparenza</w:t>
            </w:r>
          </w:p>
        </w:tc>
        <w:tc>
          <w:tcPr>
            <w:tcW w:w="1195" w:type="pct"/>
            <w:vAlign w:val="center"/>
          </w:tcPr>
          <w:p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Obiettivi di Prevenzione della Corruzione</w:t>
            </w:r>
          </w:p>
        </w:tc>
        <w:tc>
          <w:tcPr>
            <w:tcW w:w="721" w:type="pct"/>
            <w:vAlign w:val="center"/>
          </w:tcPr>
          <w:p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t>Totale</w:t>
            </w:r>
          </w:p>
        </w:tc>
      </w:tr>
      <w:tr w:rsidR="00DB5E6B" w:rsidRPr="00E63330" w:rsidTr="00155746">
        <w:tc>
          <w:tcPr>
            <w:tcW w:w="1847" w:type="pct"/>
            <w:vAlign w:val="center"/>
          </w:tcPr>
          <w:p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Direzione</w:t>
            </w:r>
          </w:p>
        </w:tc>
        <w:tc>
          <w:tcPr>
            <w:tcW w:w="1237"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t>10%</w:t>
            </w:r>
          </w:p>
        </w:tc>
      </w:tr>
      <w:tr w:rsidR="00DB5E6B" w:rsidRPr="00E63330" w:rsidTr="00155746">
        <w:tc>
          <w:tcPr>
            <w:tcW w:w="1847" w:type="pct"/>
            <w:vAlign w:val="center"/>
          </w:tcPr>
          <w:p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Autorizzazione dei Pagamenti</w:t>
            </w:r>
          </w:p>
        </w:tc>
        <w:tc>
          <w:tcPr>
            <w:tcW w:w="1237"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rsidTr="00155746">
        <w:tc>
          <w:tcPr>
            <w:tcW w:w="1847" w:type="pct"/>
            <w:vAlign w:val="center"/>
          </w:tcPr>
          <w:p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Esecuzione dei Pagamenti</w:t>
            </w:r>
          </w:p>
        </w:tc>
        <w:tc>
          <w:tcPr>
            <w:tcW w:w="1237"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rsidTr="00155746">
        <w:tc>
          <w:tcPr>
            <w:tcW w:w="1847" w:type="pct"/>
            <w:vAlign w:val="center"/>
          </w:tcPr>
          <w:p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Contabilizzazione</w:t>
            </w:r>
          </w:p>
        </w:tc>
        <w:tc>
          <w:tcPr>
            <w:tcW w:w="1237"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bl>
    <w:p w:rsidR="009D3D5B" w:rsidRPr="00E63330" w:rsidRDefault="009D3D5B"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6"/>
        <w:gridCol w:w="1226"/>
        <w:gridCol w:w="1505"/>
        <w:gridCol w:w="1505"/>
        <w:gridCol w:w="1690"/>
      </w:tblGrid>
      <w:tr w:rsidR="00F80F64" w:rsidRPr="00CB3C4F" w:rsidTr="00B35849">
        <w:tc>
          <w:tcPr>
            <w:tcW w:w="1949" w:type="pct"/>
            <w:vAlign w:val="center"/>
          </w:tcPr>
          <w:p w:rsidR="00F80F64" w:rsidRPr="00CB3C4F" w:rsidRDefault="00F80F64" w:rsidP="00764D22">
            <w:pPr>
              <w:autoSpaceDE w:val="0"/>
              <w:autoSpaceDN w:val="0"/>
              <w:adjustRightInd w:val="0"/>
              <w:spacing w:after="0"/>
              <w:jc w:val="center"/>
              <w:rPr>
                <w:rFonts w:ascii="Times New Roman" w:hAnsi="Times New Roman"/>
                <w:b/>
                <w:sz w:val="20"/>
                <w:szCs w:val="20"/>
              </w:rPr>
            </w:pPr>
            <w:bookmarkStart w:id="117" w:name="OLE_LINK53"/>
            <w:bookmarkStart w:id="118" w:name="OLE_LINK54"/>
            <w:r w:rsidRPr="003C3367">
              <w:rPr>
                <w:rFonts w:ascii="Times New Roman" w:hAnsi="Times New Roman"/>
                <w:b/>
                <w:sz w:val="20"/>
                <w:szCs w:val="20"/>
              </w:rPr>
              <w:t>Struttura</w:t>
            </w:r>
          </w:p>
        </w:tc>
        <w:tc>
          <w:tcPr>
            <w:tcW w:w="631" w:type="pct"/>
            <w:vAlign w:val="center"/>
          </w:tcPr>
          <w:p w:rsidR="00F80F64" w:rsidRPr="00CB3C4F" w:rsidRDefault="00F80F64" w:rsidP="00D53E78">
            <w:pPr>
              <w:autoSpaceDE w:val="0"/>
              <w:autoSpaceDN w:val="0"/>
              <w:adjustRightInd w:val="0"/>
              <w:spacing w:after="0"/>
              <w:jc w:val="center"/>
              <w:rPr>
                <w:rFonts w:ascii="Times New Roman" w:hAnsi="Times New Roman"/>
                <w:b/>
                <w:sz w:val="20"/>
                <w:szCs w:val="20"/>
              </w:rPr>
            </w:pPr>
            <w:r w:rsidRPr="003C3367">
              <w:rPr>
                <w:rFonts w:ascii="Times New Roman" w:hAnsi="Times New Roman"/>
                <w:b/>
                <w:sz w:val="20"/>
                <w:szCs w:val="20"/>
              </w:rPr>
              <w:t>Ufficio</w:t>
            </w:r>
          </w:p>
        </w:tc>
        <w:tc>
          <w:tcPr>
            <w:tcW w:w="775" w:type="pct"/>
            <w:vAlign w:val="center"/>
          </w:tcPr>
          <w:p w:rsidR="00F80F64" w:rsidRPr="00CB3C4F" w:rsidRDefault="00F80F64" w:rsidP="00155746">
            <w:pPr>
              <w:jc w:val="center"/>
              <w:rPr>
                <w:rFonts w:ascii="Times New Roman" w:hAnsi="Times New Roman"/>
                <w:b/>
                <w:sz w:val="20"/>
                <w:szCs w:val="20"/>
              </w:rPr>
            </w:pPr>
            <w:r w:rsidRPr="003C3367">
              <w:rPr>
                <w:rFonts w:ascii="Times New Roman" w:hAnsi="Times New Roman"/>
                <w:b/>
                <w:sz w:val="20"/>
                <w:szCs w:val="20"/>
              </w:rPr>
              <w:t>Obiettivi di Trasparenza</w:t>
            </w:r>
          </w:p>
        </w:tc>
        <w:tc>
          <w:tcPr>
            <w:tcW w:w="775" w:type="pct"/>
            <w:vAlign w:val="center"/>
          </w:tcPr>
          <w:p w:rsidR="00F80F64" w:rsidRPr="00CB3C4F" w:rsidRDefault="00F80F64" w:rsidP="00155746">
            <w:pPr>
              <w:jc w:val="center"/>
              <w:rPr>
                <w:rFonts w:ascii="Times New Roman" w:hAnsi="Times New Roman"/>
                <w:b/>
                <w:sz w:val="20"/>
                <w:szCs w:val="20"/>
              </w:rPr>
            </w:pPr>
            <w:r w:rsidRPr="003C3367">
              <w:rPr>
                <w:rFonts w:ascii="Times New Roman" w:hAnsi="Times New Roman"/>
                <w:b/>
                <w:sz w:val="20"/>
                <w:szCs w:val="20"/>
              </w:rPr>
              <w:t>Obiettivi di Prevenzione della Corruzione</w:t>
            </w:r>
          </w:p>
        </w:tc>
        <w:tc>
          <w:tcPr>
            <w:tcW w:w="870" w:type="pct"/>
            <w:vAlign w:val="center"/>
          </w:tcPr>
          <w:p w:rsidR="00F80F64" w:rsidRPr="00CB3C4F" w:rsidRDefault="00F80F64" w:rsidP="00155746">
            <w:pPr>
              <w:jc w:val="center"/>
              <w:rPr>
                <w:rFonts w:ascii="Times New Roman" w:hAnsi="Times New Roman"/>
                <w:b/>
                <w:sz w:val="20"/>
                <w:szCs w:val="20"/>
              </w:rPr>
            </w:pPr>
            <w:r w:rsidRPr="003C3367">
              <w:rPr>
                <w:rFonts w:ascii="Times New Roman" w:hAnsi="Times New Roman"/>
                <w:b/>
                <w:sz w:val="20"/>
                <w:szCs w:val="20"/>
              </w:rPr>
              <w:t>Totale</w:t>
            </w:r>
          </w:p>
        </w:tc>
      </w:tr>
      <w:tr w:rsidR="00F80F64" w:rsidRPr="00CB3C4F" w:rsidTr="00B35849">
        <w:trPr>
          <w:trHeight w:val="134"/>
        </w:trPr>
        <w:tc>
          <w:tcPr>
            <w:tcW w:w="1949" w:type="pct"/>
            <w:vMerge w:val="restart"/>
            <w:vAlign w:val="center"/>
          </w:tcPr>
          <w:p w:rsidR="00F80F64" w:rsidRPr="00CB3C4F" w:rsidRDefault="00F80F64"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Direzione</w:t>
            </w: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DG</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5%</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5%</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rPr>
          <w:trHeight w:val="133"/>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D1</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20%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30%</w:t>
            </w:r>
          </w:p>
        </w:tc>
      </w:tr>
      <w:tr w:rsidR="00F80F64" w:rsidRPr="00CB3C4F" w:rsidTr="00B35849">
        <w:trPr>
          <w:trHeight w:val="53"/>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D2</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15%</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50%</w:t>
            </w:r>
          </w:p>
        </w:tc>
      </w:tr>
      <w:tr w:rsidR="00F80F64" w:rsidRPr="00CB3C4F" w:rsidTr="00B35849">
        <w:trPr>
          <w:trHeight w:val="53"/>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D3</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20%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15%</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70%</w:t>
            </w:r>
          </w:p>
        </w:tc>
      </w:tr>
      <w:tr w:rsidR="00F80F64" w:rsidRPr="00CB3C4F" w:rsidTr="00B35849">
        <w:trPr>
          <w:trHeight w:val="53"/>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D4</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30%</w:t>
            </w:r>
          </w:p>
        </w:tc>
      </w:tr>
      <w:tr w:rsidR="00F80F64" w:rsidRPr="00CB3C4F" w:rsidTr="00B35849">
        <w:trPr>
          <w:trHeight w:val="151"/>
        </w:trPr>
        <w:tc>
          <w:tcPr>
            <w:tcW w:w="1949" w:type="pct"/>
            <w:vMerge w:val="restart"/>
            <w:vAlign w:val="center"/>
          </w:tcPr>
          <w:p w:rsidR="00F80F64" w:rsidRPr="00CB3C4F" w:rsidRDefault="00F80F64"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Autorizzazione dei Pagamenti</w:t>
            </w: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A1</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35%</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30%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rPr>
          <w:trHeight w:val="76"/>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A2</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rPr>
          <w:trHeight w:val="75"/>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A3</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c>
          <w:tcPr>
            <w:tcW w:w="1949" w:type="pct"/>
            <w:vMerge w:val="restart"/>
            <w:vAlign w:val="center"/>
          </w:tcPr>
          <w:p w:rsidR="00F80F64" w:rsidRPr="00CB3C4F" w:rsidRDefault="00F80F64"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Esecuzione dei Pagamenti</w:t>
            </w:r>
          </w:p>
        </w:tc>
        <w:tc>
          <w:tcPr>
            <w:tcW w:w="631" w:type="pct"/>
            <w:vAlign w:val="center"/>
          </w:tcPr>
          <w:p w:rsidR="00F80F64" w:rsidRPr="00CB3C4F" w:rsidRDefault="00F80F64" w:rsidP="00A11DD6">
            <w:pPr>
              <w:spacing w:after="0"/>
              <w:jc w:val="center"/>
              <w:rPr>
                <w:rFonts w:ascii="Times New Roman" w:hAnsi="Times New Roman"/>
                <w:sz w:val="20"/>
                <w:szCs w:val="20"/>
              </w:rPr>
            </w:pPr>
            <w:r w:rsidRPr="003C3367">
              <w:rPr>
                <w:rFonts w:ascii="Times New Roman" w:hAnsi="Times New Roman"/>
                <w:sz w:val="20"/>
                <w:szCs w:val="20"/>
              </w:rPr>
              <w:t>E1</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c>
          <w:tcPr>
            <w:tcW w:w="1949" w:type="pct"/>
            <w:vMerge/>
            <w:vAlign w:val="center"/>
          </w:tcPr>
          <w:p w:rsidR="00F80F64" w:rsidRPr="003C3367" w:rsidRDefault="00F80F64" w:rsidP="00764D22">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E2</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rPr>
          <w:trHeight w:val="248"/>
        </w:trPr>
        <w:tc>
          <w:tcPr>
            <w:tcW w:w="1949" w:type="pct"/>
            <w:vMerge w:val="restart"/>
            <w:vAlign w:val="center"/>
          </w:tcPr>
          <w:p w:rsidR="00F80F64" w:rsidRPr="00CB3C4F" w:rsidRDefault="00F80F64" w:rsidP="00155746">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Contabilizzazione</w:t>
            </w:r>
          </w:p>
        </w:tc>
        <w:tc>
          <w:tcPr>
            <w:tcW w:w="631" w:type="pct"/>
            <w:vAlign w:val="center"/>
          </w:tcPr>
          <w:p w:rsidR="00F80F64" w:rsidRPr="00CB3C4F" w:rsidRDefault="00F80F64" w:rsidP="00A11DD6">
            <w:pPr>
              <w:spacing w:after="0"/>
              <w:jc w:val="center"/>
              <w:rPr>
                <w:rFonts w:ascii="Times New Roman" w:hAnsi="Times New Roman"/>
                <w:sz w:val="20"/>
                <w:szCs w:val="20"/>
              </w:rPr>
            </w:pPr>
            <w:r w:rsidRPr="003C3367">
              <w:rPr>
                <w:rFonts w:ascii="Times New Roman" w:hAnsi="Times New Roman"/>
                <w:sz w:val="20"/>
                <w:szCs w:val="20"/>
              </w:rPr>
              <w:t>C1</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tr w:rsidR="00F80F64" w:rsidRPr="00CB3C4F" w:rsidTr="00B35849">
        <w:trPr>
          <w:trHeight w:val="110"/>
        </w:trPr>
        <w:tc>
          <w:tcPr>
            <w:tcW w:w="1949" w:type="pct"/>
            <w:vMerge/>
            <w:vAlign w:val="center"/>
          </w:tcPr>
          <w:p w:rsidR="00F80F64" w:rsidRPr="003C3367" w:rsidRDefault="00F80F64"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rsidR="00F80F64" w:rsidRPr="00CB3C4F" w:rsidRDefault="00F80F64" w:rsidP="00A11DD6">
            <w:pPr>
              <w:spacing w:after="0"/>
              <w:jc w:val="center"/>
              <w:rPr>
                <w:rFonts w:ascii="Times New Roman" w:hAnsi="Times New Roman"/>
                <w:sz w:val="20"/>
                <w:szCs w:val="20"/>
              </w:rPr>
            </w:pPr>
            <w:r w:rsidRPr="003C3367">
              <w:rPr>
                <w:rFonts w:ascii="Times New Roman" w:hAnsi="Times New Roman"/>
                <w:sz w:val="20"/>
                <w:szCs w:val="20"/>
              </w:rPr>
              <w:t>C2</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775" w:type="pct"/>
          </w:tcPr>
          <w:p w:rsidR="00F80F64" w:rsidRPr="00CB3C4F" w:rsidRDefault="00F80F64" w:rsidP="00A11DD6">
            <w:pPr>
              <w:spacing w:after="0"/>
              <w:jc w:val="center"/>
              <w:rPr>
                <w:rFonts w:ascii="Times New Roman" w:hAnsi="Times New Roman"/>
                <w:sz w:val="20"/>
                <w:szCs w:val="20"/>
              </w:rPr>
            </w:pPr>
            <w:r w:rsidRPr="00CB3C4F">
              <w:rPr>
                <w:rFonts w:ascii="Times New Roman" w:hAnsi="Times New Roman"/>
                <w:sz w:val="20"/>
                <w:szCs w:val="20"/>
              </w:rPr>
              <w:t>10%</w:t>
            </w:r>
          </w:p>
        </w:tc>
        <w:tc>
          <w:tcPr>
            <w:tcW w:w="870" w:type="pct"/>
            <w:vAlign w:val="center"/>
          </w:tcPr>
          <w:p w:rsidR="00F80F64" w:rsidRPr="00CB3C4F" w:rsidRDefault="00F80F64" w:rsidP="00A11DD6">
            <w:pPr>
              <w:spacing w:after="0"/>
              <w:jc w:val="center"/>
              <w:rPr>
                <w:rFonts w:ascii="Times New Roman" w:hAnsi="Times New Roman"/>
                <w:b/>
                <w:sz w:val="20"/>
                <w:szCs w:val="20"/>
              </w:rPr>
            </w:pPr>
            <w:r w:rsidRPr="003C3367">
              <w:rPr>
                <w:rFonts w:ascii="Times New Roman" w:hAnsi="Times New Roman"/>
                <w:b/>
                <w:sz w:val="20"/>
                <w:szCs w:val="20"/>
              </w:rPr>
              <w:t>10%</w:t>
            </w:r>
          </w:p>
        </w:tc>
      </w:tr>
      <w:bookmarkEnd w:id="117"/>
      <w:bookmarkEnd w:id="118"/>
    </w:tbl>
    <w:p w:rsidR="008914BA" w:rsidRPr="00E63330" w:rsidRDefault="0096592E" w:rsidP="007B183D">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br w:type="page"/>
      </w:r>
      <w:bookmarkStart w:id="119" w:name="OLE_LINK216"/>
      <w:bookmarkStart w:id="120" w:name="OLE_LINK217"/>
      <w:bookmarkStart w:id="121" w:name="OLE_LINK218"/>
      <w:r w:rsidRPr="003C3367">
        <w:rPr>
          <w:rFonts w:ascii="Times New Roman" w:hAnsi="Times New Roman"/>
          <w:sz w:val="24"/>
          <w:szCs w:val="24"/>
        </w:rPr>
        <w:lastRenderedPageBreak/>
        <w:t>Di seguito si riporta una rappresentazione grafica dell’albero degli obiettivi:</w:t>
      </w:r>
    </w:p>
    <w:p w:rsidR="00B54973" w:rsidRPr="00E63330" w:rsidRDefault="00B54973" w:rsidP="00AB3CB1">
      <w:pPr>
        <w:autoSpaceDE w:val="0"/>
        <w:autoSpaceDN w:val="0"/>
        <w:adjustRightInd w:val="0"/>
        <w:spacing w:after="0"/>
        <w:jc w:val="both"/>
        <w:rPr>
          <w:rFonts w:ascii="Times New Roman" w:hAnsi="Times New Roman"/>
          <w:sz w:val="24"/>
          <w:szCs w:val="24"/>
        </w:rPr>
      </w:pPr>
    </w:p>
    <w:p w:rsidR="00242F8F" w:rsidRPr="00E63330" w:rsidRDefault="00242F8F" w:rsidP="00AB3CB1">
      <w:pPr>
        <w:autoSpaceDE w:val="0"/>
        <w:autoSpaceDN w:val="0"/>
        <w:adjustRightInd w:val="0"/>
        <w:spacing w:after="0"/>
        <w:jc w:val="both"/>
        <w:rPr>
          <w:rFonts w:ascii="Times New Roman" w:hAnsi="Times New Roman"/>
          <w:sz w:val="24"/>
          <w:szCs w:val="24"/>
        </w:rPr>
      </w:pPr>
    </w:p>
    <w:p w:rsidR="000D7773" w:rsidRPr="00E63330" w:rsidRDefault="00794DF8" w:rsidP="000D7773">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2608" behindDoc="0" locked="0" layoutInCell="1" allowOverlap="1" wp14:anchorId="2ADE33A9" wp14:editId="2970B3DC">
                <wp:simplePos x="0" y="0"/>
                <wp:positionH relativeFrom="column">
                  <wp:posOffset>1999615</wp:posOffset>
                </wp:positionH>
                <wp:positionV relativeFrom="paragraph">
                  <wp:posOffset>64770</wp:posOffset>
                </wp:positionV>
                <wp:extent cx="2075180" cy="245745"/>
                <wp:effectExtent l="9525" t="8255" r="10795" b="2222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74997" w:rsidRPr="000D7773" w:rsidRDefault="00E74997" w:rsidP="000D7773">
                            <w:pPr>
                              <w:pStyle w:val="Corpotesto"/>
                              <w:jc w:val="center"/>
                              <w:rPr>
                                <w:rFonts w:ascii="Times New Roman" w:hAnsi="Times New Roman"/>
                                <w:b/>
                                <w:sz w:val="18"/>
                                <w:szCs w:val="18"/>
                              </w:rPr>
                            </w:pPr>
                            <w:r w:rsidRPr="000D7773">
                              <w:rPr>
                                <w:rFonts w:ascii="Times New Roman" w:hAnsi="Times New Roman"/>
                                <w:b/>
                                <w:sz w:val="18"/>
                                <w:szCs w:val="18"/>
                              </w:rPr>
                              <w:t>Missione Istituzionale</w:t>
                            </w:r>
                          </w:p>
                          <w:p w:rsidR="00E74997" w:rsidRPr="000D7773" w:rsidRDefault="00E7499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7.45pt;margin-top:5.1pt;width:163.4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" fillcolor="#d99594" strokecolor="#d99594" strokeweight="1pt">
                <v:fill color2="#f2dbdb" angle="135" focus="50%" type="gradient"/>
                <v:shadow on="t" color="#622423" opacity=".5" offset="1pt"/>
                <v:textbox>
                  <w:txbxContent>
                    <w:p w:rsidR="00E74997" w:rsidRPr="000D7773" w:rsidRDefault="00E74997" w:rsidP="000D7773">
                      <w:pPr>
                        <w:pStyle w:val="Corpotesto"/>
                        <w:jc w:val="center"/>
                        <w:rPr>
                          <w:rFonts w:ascii="Times New Roman" w:hAnsi="Times New Roman"/>
                          <w:b/>
                          <w:sz w:val="18"/>
                          <w:szCs w:val="18"/>
                        </w:rPr>
                      </w:pPr>
                      <w:r w:rsidRPr="000D7773">
                        <w:rPr>
                          <w:rFonts w:ascii="Times New Roman" w:hAnsi="Times New Roman"/>
                          <w:b/>
                          <w:sz w:val="18"/>
                          <w:szCs w:val="18"/>
                        </w:rPr>
                        <w:t>Missione Istituzionale</w:t>
                      </w:r>
                    </w:p>
                    <w:p w:rsidR="00E74997" w:rsidRPr="000D7773" w:rsidRDefault="00E74997" w:rsidP="000D7773"/>
                  </w:txbxContent>
                </v:textbox>
              </v:rect>
            </w:pict>
          </mc:Fallback>
        </mc:AlternateContent>
      </w:r>
    </w:p>
    <w:p w:rsidR="00F83015" w:rsidRPr="00E63330" w:rsidRDefault="00794DF8" w:rsidP="000D7773">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4656" behindDoc="0" locked="0" layoutInCell="1" allowOverlap="1" wp14:anchorId="63B0D41D" wp14:editId="11C64A88">
                <wp:simplePos x="0" y="0"/>
                <wp:positionH relativeFrom="column">
                  <wp:posOffset>3012440</wp:posOffset>
                </wp:positionH>
                <wp:positionV relativeFrom="paragraph">
                  <wp:posOffset>70485</wp:posOffset>
                </wp:positionV>
                <wp:extent cx="122555" cy="123825"/>
                <wp:effectExtent l="19050" t="0" r="29845" b="4762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2pt;margin-top:5.55pt;width:9.6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">
                <v:textbox style="layout-flow:vertical-ideographic"/>
              </v:shape>
            </w:pict>
          </mc:Fallback>
        </mc:AlternateContent>
      </w:r>
      <w:r>
        <w:rPr>
          <w:rFonts w:ascii="Times New Roman" w:hAnsi="Times New Roman"/>
          <w:noProof/>
          <w:lang w:eastAsia="it-IT"/>
        </w:rPr>
        <mc:AlternateContent>
          <mc:Choice Requires="wps">
            <w:drawing>
              <wp:anchor distT="0" distB="0" distL="114300" distR="114300" simplePos="0" relativeHeight="251653632" behindDoc="0" locked="0" layoutInCell="1" allowOverlap="1" wp14:anchorId="7F260FC1" wp14:editId="723762D6">
                <wp:simplePos x="0" y="0"/>
                <wp:positionH relativeFrom="column">
                  <wp:posOffset>-445770</wp:posOffset>
                </wp:positionH>
                <wp:positionV relativeFrom="paragraph">
                  <wp:posOffset>186055</wp:posOffset>
                </wp:positionV>
                <wp:extent cx="7158355" cy="300355"/>
                <wp:effectExtent l="2540" t="0" r="11430" b="2603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E74997" w:rsidRPr="000D7773" w:rsidRDefault="00E74997" w:rsidP="000D7773">
                            <w:pPr>
                              <w:pStyle w:val="Corpotesto"/>
                              <w:jc w:val="center"/>
                              <w:rPr>
                                <w:rFonts w:ascii="Times New Roman" w:hAnsi="Times New Roman"/>
                                <w:b/>
                                <w:sz w:val="18"/>
                                <w:szCs w:val="18"/>
                              </w:rPr>
                            </w:pPr>
                            <w:r w:rsidRPr="000D7773">
                              <w:rPr>
                                <w:rFonts w:ascii="Times New Roman" w:hAnsi="Times New Roman"/>
                                <w:b/>
                                <w:sz w:val="18"/>
                                <w:szCs w:val="18"/>
                              </w:rPr>
                              <w:t>OBIETTIVI STRATEGICI</w:t>
                            </w:r>
                          </w:p>
                          <w:p w:rsidR="00E74997" w:rsidRPr="000D7773" w:rsidRDefault="00E7499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35.1pt;margin-top:14.65pt;width:563.65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" stroked="f" strokecolor="#c2d69b" strokeweight="1pt">
                <v:fill color2="#eaf1dd" angle="135" focus="50%" type="gradient"/>
                <v:shadow on="t" color="#4e6128" opacity=".5" offset="1pt"/>
                <v:textbox>
                  <w:txbxContent>
                    <w:p w:rsidR="00E74997" w:rsidRPr="000D7773" w:rsidRDefault="00E74997" w:rsidP="000D7773">
                      <w:pPr>
                        <w:pStyle w:val="Corpotesto"/>
                        <w:jc w:val="center"/>
                        <w:rPr>
                          <w:rFonts w:ascii="Times New Roman" w:hAnsi="Times New Roman"/>
                          <w:b/>
                          <w:sz w:val="18"/>
                          <w:szCs w:val="18"/>
                        </w:rPr>
                      </w:pPr>
                      <w:r w:rsidRPr="000D7773">
                        <w:rPr>
                          <w:rFonts w:ascii="Times New Roman" w:hAnsi="Times New Roman"/>
                          <w:b/>
                          <w:sz w:val="18"/>
                          <w:szCs w:val="18"/>
                        </w:rPr>
                        <w:t>OBIETTIVI STRATEGICI</w:t>
                      </w:r>
                    </w:p>
                    <w:p w:rsidR="00E74997" w:rsidRPr="000D7773" w:rsidRDefault="00E74997" w:rsidP="000D7773"/>
                  </w:txbxContent>
                </v:textbox>
              </v:rect>
            </w:pict>
          </mc:Fallback>
        </mc:AlternateContent>
      </w:r>
    </w:p>
    <w:p w:rsidR="000D7773" w:rsidRPr="00E63330" w:rsidRDefault="000D7773" w:rsidP="000D7773">
      <w:pPr>
        <w:pStyle w:val="Corpotesto"/>
        <w:rPr>
          <w:rFonts w:ascii="Times New Roman" w:hAnsi="Times New Roman"/>
          <w:sz w:val="24"/>
          <w:highlight w:val="yellow"/>
        </w:rPr>
      </w:pPr>
    </w:p>
    <w:p w:rsidR="006741EA" w:rsidRPr="00E63330" w:rsidRDefault="00794DF8" w:rsidP="006741EA">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1584" behindDoc="0" locked="0" layoutInCell="1" allowOverlap="1" wp14:anchorId="51D79205" wp14:editId="5609A168">
                <wp:simplePos x="0" y="0"/>
                <wp:positionH relativeFrom="column">
                  <wp:posOffset>4507230</wp:posOffset>
                </wp:positionH>
                <wp:positionV relativeFrom="paragraph">
                  <wp:posOffset>72390</wp:posOffset>
                </wp:positionV>
                <wp:extent cx="1842770" cy="1112520"/>
                <wp:effectExtent l="12065" t="10795" r="12065" b="2921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11125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74997" w:rsidRDefault="00E74997"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rsidR="00E74997" w:rsidRPr="003C3367" w:rsidRDefault="00E74997" w:rsidP="009061FA">
                            <w:pPr>
                              <w:pStyle w:val="Corpotesto"/>
                              <w:jc w:val="center"/>
                              <w:rPr>
                                <w:rFonts w:ascii="Times New Roman" w:hAnsi="Times New Roman"/>
                                <w:sz w:val="16"/>
                                <w:szCs w:val="16"/>
                              </w:rPr>
                            </w:pPr>
                            <w:r w:rsidRPr="003C3367">
                              <w:rPr>
                                <w:rFonts w:ascii="Times New Roman" w:hAnsi="Times New Roman"/>
                                <w:sz w:val="16"/>
                                <w:szCs w:val="16"/>
                              </w:rPr>
                              <w:t xml:space="preserve">Adeguamento delle funzionalità del sistema informativo, anche in funzione del Piano Triennale per l’Informatizzazione e di quanto disposto dal Reg (UE) 907/2014 in merito alla sicurezza delle informazioni </w:t>
                            </w:r>
                          </w:p>
                          <w:p w:rsidR="00E74997" w:rsidRDefault="00E74997" w:rsidP="003C3367">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54.9pt;margin-top:5.7pt;width:145.1pt;height:8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" fillcolor="#c2d69b" strokecolor="#c2d69b" strokeweight="1pt">
                <v:fill color2="#eaf1dd" angle="135" focus="50%" type="gradient"/>
                <v:shadow on="t" color="#4e6128" opacity=".5" offset="1pt"/>
                <v:textbox>
                  <w:txbxContent>
                    <w:p w:rsidR="00E74997" w:rsidRDefault="00E74997"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rsidR="00E74997" w:rsidRPr="003C3367" w:rsidRDefault="00E74997" w:rsidP="009061FA">
                      <w:pPr>
                        <w:pStyle w:val="Corpotesto"/>
                        <w:jc w:val="center"/>
                        <w:rPr>
                          <w:rFonts w:ascii="Times New Roman" w:hAnsi="Times New Roman"/>
                          <w:sz w:val="16"/>
                          <w:szCs w:val="16"/>
                        </w:rPr>
                      </w:pPr>
                      <w:r w:rsidRPr="003C3367">
                        <w:rPr>
                          <w:rFonts w:ascii="Times New Roman" w:hAnsi="Times New Roman"/>
                          <w:sz w:val="16"/>
                          <w:szCs w:val="16"/>
                        </w:rPr>
                        <w:t xml:space="preserve">Adeguamento delle funzionalità del sistema informativo, anche in funzione del Piano Triennale per l’Informatizzazione e di quanto disposto dal Reg (UE) 907/2014 in merito alla sicurezza delle informazioni </w:t>
                      </w:r>
                    </w:p>
                    <w:p w:rsidR="00E74997" w:rsidRDefault="00E74997" w:rsidP="003C3367">
                      <w:pPr>
                        <w:spacing w:after="0" w:line="240" w:lineRule="auto"/>
                        <w:rPr>
                          <w:sz w:val="16"/>
                          <w:szCs w:val="16"/>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0560" behindDoc="0" locked="0" layoutInCell="1" allowOverlap="1" wp14:anchorId="4A81F995" wp14:editId="7750AB0F">
                <wp:simplePos x="0" y="0"/>
                <wp:positionH relativeFrom="column">
                  <wp:posOffset>-63500</wp:posOffset>
                </wp:positionH>
                <wp:positionV relativeFrom="paragraph">
                  <wp:posOffset>202565</wp:posOffset>
                </wp:positionV>
                <wp:extent cx="954405" cy="901065"/>
                <wp:effectExtent l="13335" t="7620" r="13335" b="2476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9010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74997" w:rsidRDefault="00E7499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E74997" w:rsidRPr="007D7FA2" w:rsidRDefault="00E7499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5pt;margin-top:15.95pt;width:75.15pt;height: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" fillcolor="#c2d69b" strokecolor="#c2d69b" strokeweight="1pt">
                <v:fill color2="#eaf1dd" angle="135" focus="50%" type="gradient"/>
                <v:shadow on="t" color="#4e6128" opacity=".5" offset="1pt"/>
                <v:textbox>
                  <w:txbxContent>
                    <w:p w:rsidR="00E74997" w:rsidRDefault="00E7499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E74997" w:rsidRPr="007D7FA2" w:rsidRDefault="00E7499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49536" behindDoc="0" locked="0" layoutInCell="1" allowOverlap="1" wp14:anchorId="6CBF47CC" wp14:editId="013245CA">
                <wp:simplePos x="0" y="0"/>
                <wp:positionH relativeFrom="column">
                  <wp:posOffset>2306320</wp:posOffset>
                </wp:positionH>
                <wp:positionV relativeFrom="paragraph">
                  <wp:posOffset>202565</wp:posOffset>
                </wp:positionV>
                <wp:extent cx="1269365" cy="866775"/>
                <wp:effectExtent l="11430" t="7620" r="14605" b="2095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74997" w:rsidRDefault="00E7499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E74997" w:rsidRPr="006C546B" w:rsidRDefault="00E74997"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181.6pt;margin-top:15.95pt;width:99.9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" fillcolor="#c2d69b" strokecolor="#c2d69b" strokeweight="1pt">
                <v:fill color2="#eaf1dd" angle="135" focus="50%" type="gradient"/>
                <v:shadow on="t" color="#4e6128" opacity=".5" offset="1pt"/>
                <v:textbox>
                  <w:txbxContent>
                    <w:p w:rsidR="00E74997" w:rsidRDefault="00E7499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E74997" w:rsidRPr="006C546B" w:rsidRDefault="00E74997"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v:textbox>
              </v:rect>
            </w:pict>
          </mc:Fallback>
        </mc:AlternateContent>
      </w:r>
    </w:p>
    <w:p w:rsidR="006741EA" w:rsidRPr="00E63330" w:rsidRDefault="006741EA" w:rsidP="006741EA">
      <w:pPr>
        <w:pStyle w:val="Corpotesto"/>
        <w:rPr>
          <w:rFonts w:ascii="Times New Roman" w:hAnsi="Times New Roman"/>
          <w:sz w:val="24"/>
          <w:highlight w:val="yellow"/>
        </w:rPr>
      </w:pPr>
    </w:p>
    <w:p w:rsidR="000C75DC" w:rsidRPr="00E63330" w:rsidRDefault="0096592E" w:rsidP="000C75DC">
      <w:pPr>
        <w:autoSpaceDE w:val="0"/>
        <w:autoSpaceDN w:val="0"/>
        <w:adjustRightInd w:val="0"/>
        <w:ind w:left="720"/>
        <w:jc w:val="both"/>
        <w:rPr>
          <w:rFonts w:ascii="Times New Roman" w:hAnsi="Times New Roman"/>
          <w:bCs/>
          <w:sz w:val="24"/>
          <w:szCs w:val="24"/>
          <w:highlight w:val="yellow"/>
        </w:rPr>
      </w:pPr>
      <w:r w:rsidRPr="003C3367">
        <w:rPr>
          <w:rFonts w:ascii="Times New Roman" w:hAnsi="Times New Roman"/>
          <w:bCs/>
          <w:sz w:val="24"/>
          <w:szCs w:val="24"/>
          <w:highlight w:val="yellow"/>
        </w:rPr>
        <w:t>’</w:t>
      </w:r>
    </w:p>
    <w:p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5680" behindDoc="0" locked="0" layoutInCell="1" allowOverlap="1" wp14:anchorId="00AC006C" wp14:editId="6198DEE3">
                <wp:simplePos x="0" y="0"/>
                <wp:positionH relativeFrom="column">
                  <wp:posOffset>-489585</wp:posOffset>
                </wp:positionH>
                <wp:positionV relativeFrom="paragraph">
                  <wp:posOffset>15240</wp:posOffset>
                </wp:positionV>
                <wp:extent cx="7158355" cy="238125"/>
                <wp:effectExtent l="6350" t="13970" r="17145" b="2413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238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Pr="000D7773" w:rsidRDefault="00E74997" w:rsidP="006C1759">
                            <w:pPr>
                              <w:pStyle w:val="Corpo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E74997" w:rsidRPr="000D7773" w:rsidRDefault="00E74997"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8.55pt;margin-top:1.2pt;width:563.6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" fillcolor="#95b3d7" strokecolor="#95b3d7" strokeweight="1pt">
                <v:fill color2="#dbe5f1" angle="135" focus="50%" type="gradient"/>
                <v:shadow on="t" color="#243f60" opacity=".5" offset="1pt"/>
                <v:textbox>
                  <w:txbxContent>
                    <w:p w:rsidR="00E74997" w:rsidRPr="000D7773" w:rsidRDefault="00E74997" w:rsidP="006C1759">
                      <w:pPr>
                        <w:pStyle w:val="Corpo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E74997" w:rsidRPr="000D7773" w:rsidRDefault="00E74997" w:rsidP="006C1759"/>
                  </w:txbxContent>
                </v:textbox>
              </v:rect>
            </w:pict>
          </mc:Fallback>
        </mc:AlternateContent>
      </w:r>
    </w:p>
    <w:p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1824" behindDoc="0" locked="0" layoutInCell="1" allowOverlap="1" wp14:anchorId="40ABA3E2" wp14:editId="13BAF889">
                <wp:simplePos x="0" y="0"/>
                <wp:positionH relativeFrom="column">
                  <wp:posOffset>4703445</wp:posOffset>
                </wp:positionH>
                <wp:positionV relativeFrom="paragraph">
                  <wp:posOffset>61595</wp:posOffset>
                </wp:positionV>
                <wp:extent cx="1520190" cy="1240155"/>
                <wp:effectExtent l="8255" t="7620" r="14605" b="2857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2401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E74997" w:rsidRPr="00945DFC" w:rsidRDefault="00E74997" w:rsidP="00E459AB">
                            <w:pPr>
                              <w:spacing w:after="120" w:line="240" w:lineRule="auto"/>
                              <w:jc w:val="center"/>
                              <w:rPr>
                                <w:rFonts w:ascii="Times New Roman" w:hAnsi="Times New Roman"/>
                                <w:sz w:val="18"/>
                                <w:szCs w:val="18"/>
                              </w:rPr>
                            </w:pPr>
                            <w:r>
                              <w:rPr>
                                <w:rFonts w:ascii="Times New Roman" w:hAnsi="Times New Roman"/>
                                <w:sz w:val="18"/>
                                <w:szCs w:val="18"/>
                              </w:rPr>
                              <w:t>Migliorare l’efficienza dei processi introducendo</w:t>
                            </w:r>
                            <w:r w:rsidRPr="00945DFC">
                              <w:rPr>
                                <w:rFonts w:ascii="Times New Roman" w:hAnsi="Times New Roman"/>
                                <w:sz w:val="18"/>
                                <w:szCs w:val="18"/>
                              </w:rPr>
                              <w:t xml:space="preserve"> un nuovo sistema di protocollazione informatico e</w:t>
                            </w:r>
                            <w:r>
                              <w:rPr>
                                <w:rFonts w:ascii="Times New Roman" w:hAnsi="Times New Roman"/>
                                <w:sz w:val="18"/>
                                <w:szCs w:val="18"/>
                              </w:rPr>
                              <w:t>/o</w:t>
                            </w:r>
                            <w:r w:rsidRPr="00945DFC">
                              <w:rPr>
                                <w:rFonts w:ascii="Times New Roman" w:hAnsi="Times New Roman"/>
                                <w:sz w:val="18"/>
                                <w:szCs w:val="18"/>
                              </w:rPr>
                              <w:t xml:space="preserve"> gestione documentale </w:t>
                            </w:r>
                          </w:p>
                          <w:p w:rsidR="00E74997" w:rsidRPr="00535AFA" w:rsidRDefault="00E74997" w:rsidP="00377327">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370.35pt;margin-top:4.85pt;width:119.7pt;height:9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" fillcolor="#95b3d7" strokecolor="#95b3d7" strokeweight="1pt">
                <v:fill color2="#dbe5f1" angle="135" focus="50%" type="gradient"/>
                <v:shadow on="t" color="#243f60" opacity=".5" offset="1pt"/>
                <v:textbox>
                  <w:txbxContent>
                    <w:p w:rsidR="00E74997" w:rsidRDefault="00E7499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E74997" w:rsidRPr="00945DFC" w:rsidRDefault="00E74997" w:rsidP="00E459AB">
                      <w:pPr>
                        <w:spacing w:after="120" w:line="240" w:lineRule="auto"/>
                        <w:jc w:val="center"/>
                        <w:rPr>
                          <w:rFonts w:ascii="Times New Roman" w:hAnsi="Times New Roman"/>
                          <w:sz w:val="18"/>
                          <w:szCs w:val="18"/>
                        </w:rPr>
                      </w:pPr>
                      <w:r>
                        <w:rPr>
                          <w:rFonts w:ascii="Times New Roman" w:hAnsi="Times New Roman"/>
                          <w:sz w:val="18"/>
                          <w:szCs w:val="18"/>
                        </w:rPr>
                        <w:t>Migliorare l’efficienza dei processi introducendo</w:t>
                      </w:r>
                      <w:r w:rsidRPr="00945DFC">
                        <w:rPr>
                          <w:rFonts w:ascii="Times New Roman" w:hAnsi="Times New Roman"/>
                          <w:sz w:val="18"/>
                          <w:szCs w:val="18"/>
                        </w:rPr>
                        <w:t xml:space="preserve"> un nuovo sistema di protocollazione informatico e</w:t>
                      </w:r>
                      <w:r>
                        <w:rPr>
                          <w:rFonts w:ascii="Times New Roman" w:hAnsi="Times New Roman"/>
                          <w:sz w:val="18"/>
                          <w:szCs w:val="18"/>
                        </w:rPr>
                        <w:t>/o</w:t>
                      </w:r>
                      <w:r w:rsidRPr="00945DFC">
                        <w:rPr>
                          <w:rFonts w:ascii="Times New Roman" w:hAnsi="Times New Roman"/>
                          <w:sz w:val="18"/>
                          <w:szCs w:val="18"/>
                        </w:rPr>
                        <w:t xml:space="preserve"> gestione documentale </w:t>
                      </w:r>
                    </w:p>
                    <w:p w:rsidR="00E74997" w:rsidRPr="00535AFA" w:rsidRDefault="00E74997" w:rsidP="00377327">
                      <w:pPr>
                        <w:spacing w:after="120" w:line="240" w:lineRule="auto"/>
                        <w:jc w:val="center"/>
                        <w:rPr>
                          <w:sz w:val="28"/>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6704" behindDoc="0" locked="0" layoutInCell="1" allowOverlap="1" wp14:anchorId="06DD54AC" wp14:editId="74060719">
                <wp:simplePos x="0" y="0"/>
                <wp:positionH relativeFrom="column">
                  <wp:posOffset>-290195</wp:posOffset>
                </wp:positionH>
                <wp:positionV relativeFrom="paragraph">
                  <wp:posOffset>5080</wp:posOffset>
                </wp:positionV>
                <wp:extent cx="1495425" cy="821690"/>
                <wp:effectExtent l="15240" t="8255" r="13335" b="2730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16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E74997" w:rsidRPr="0075212D" w:rsidRDefault="00E7499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E74997" w:rsidRPr="00535AFA" w:rsidRDefault="00E7499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2.85pt;margin-top:.4pt;width:117.75pt;height:6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" fillcolor="#95b3d7" strokecolor="#95b3d7" strokeweight="1pt">
                <v:fill color2="#dbe5f1" angle="135" focus="50%" type="gradient"/>
                <v:shadow on="t" color="#243f60" opacity=".5" offset="1pt"/>
                <v:textbox>
                  <w:txbxContent>
                    <w:p w:rsidR="00E74997" w:rsidRDefault="00E7499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E74997" w:rsidRPr="0075212D" w:rsidRDefault="00E7499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E74997" w:rsidRPr="00535AFA" w:rsidRDefault="00E74997" w:rsidP="003E300E">
                      <w:pPr>
                        <w:spacing w:after="120" w:line="240" w:lineRule="auto"/>
                        <w:jc w:val="center"/>
                        <w:rPr>
                          <w:sz w:val="28"/>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60800" behindDoc="0" locked="0" layoutInCell="1" allowOverlap="1" wp14:anchorId="264B4843" wp14:editId="312007AF">
                <wp:simplePos x="0" y="0"/>
                <wp:positionH relativeFrom="column">
                  <wp:posOffset>2306320</wp:posOffset>
                </wp:positionH>
                <wp:positionV relativeFrom="paragraph">
                  <wp:posOffset>73660</wp:posOffset>
                </wp:positionV>
                <wp:extent cx="1269365" cy="753110"/>
                <wp:effectExtent l="11430" t="10160" r="14605" b="27305"/>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7531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E74997" w:rsidRPr="007D70F1" w:rsidRDefault="00E7499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E74997" w:rsidRPr="00535AFA" w:rsidRDefault="00E74997" w:rsidP="001D314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181.6pt;margin-top:5.8pt;width:99.95pt;height:5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" fillcolor="#95b3d7" strokecolor="#95b3d7" strokeweight="1pt">
                <v:fill color2="#dbe5f1" angle="135" focus="50%" type="gradient"/>
                <v:shadow on="t" color="#243f60" opacity=".5" offset="1pt"/>
                <v:textbox>
                  <w:txbxContent>
                    <w:p w:rsidR="00E74997" w:rsidRDefault="00E7499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E74997" w:rsidRPr="007D70F1" w:rsidRDefault="00E7499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E74997" w:rsidRPr="00535AFA" w:rsidRDefault="00E74997" w:rsidP="001D3146">
                      <w:pPr>
                        <w:spacing w:after="120" w:line="240" w:lineRule="auto"/>
                        <w:jc w:val="center"/>
                        <w:rPr>
                          <w:sz w:val="28"/>
                        </w:rPr>
                      </w:pPr>
                    </w:p>
                  </w:txbxContent>
                </v:textbox>
              </v:rect>
            </w:pict>
          </mc:Fallback>
        </mc:AlternateContent>
      </w:r>
    </w:p>
    <w:p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E63330" w:rsidRDefault="00794DF8" w:rsidP="00F30DDB">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9776" behindDoc="0" locked="0" layoutInCell="1" allowOverlap="1" wp14:anchorId="34D39A25" wp14:editId="34CD418D">
                <wp:simplePos x="0" y="0"/>
                <wp:positionH relativeFrom="column">
                  <wp:posOffset>-236220</wp:posOffset>
                </wp:positionH>
                <wp:positionV relativeFrom="paragraph">
                  <wp:posOffset>292735</wp:posOffset>
                </wp:positionV>
                <wp:extent cx="1441450" cy="572770"/>
                <wp:effectExtent l="12065" t="10160" r="13335" b="2667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727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3C3367">
                            <w:pPr>
                              <w:spacing w:after="120" w:line="240" w:lineRule="auto"/>
                              <w:jc w:val="center"/>
                              <w:rPr>
                                <w:rFonts w:ascii="Times New Roman" w:hAnsi="Times New Roman"/>
                                <w:sz w:val="18"/>
                                <w:szCs w:val="18"/>
                              </w:rPr>
                            </w:pPr>
                            <w:r>
                              <w:rPr>
                                <w:rFonts w:ascii="Times New Roman" w:hAnsi="Times New Roman"/>
                                <w:sz w:val="18"/>
                                <w:szCs w:val="18"/>
                              </w:rPr>
                              <w:t>1.2</w:t>
                            </w:r>
                          </w:p>
                          <w:p w:rsidR="00E74997" w:rsidRPr="003C3367" w:rsidRDefault="00E74997"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rsidR="00E74997" w:rsidRDefault="00E74997" w:rsidP="003C3367">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18.6pt;margin-top:23.05pt;width:113.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" fillcolor="#95b3d7" strokecolor="#95b3d7" strokeweight="1pt">
                <v:fill color2="#dbe5f1" angle="135" focus="50%" type="gradient"/>
                <v:shadow on="t" color="#243f60" opacity=".5" offset="1pt"/>
                <v:textbox>
                  <w:txbxContent>
                    <w:p w:rsidR="00E74997" w:rsidRDefault="00E74997" w:rsidP="003C3367">
                      <w:pPr>
                        <w:spacing w:after="120" w:line="240" w:lineRule="auto"/>
                        <w:jc w:val="center"/>
                        <w:rPr>
                          <w:rFonts w:ascii="Times New Roman" w:hAnsi="Times New Roman"/>
                          <w:sz w:val="18"/>
                          <w:szCs w:val="18"/>
                        </w:rPr>
                      </w:pPr>
                      <w:r>
                        <w:rPr>
                          <w:rFonts w:ascii="Times New Roman" w:hAnsi="Times New Roman"/>
                          <w:sz w:val="18"/>
                          <w:szCs w:val="18"/>
                        </w:rPr>
                        <w:t>1.2</w:t>
                      </w:r>
                    </w:p>
                    <w:p w:rsidR="00E74997" w:rsidRPr="003C3367" w:rsidRDefault="00E74997"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rsidR="00E74997" w:rsidRDefault="00E74997" w:rsidP="003C3367">
                      <w:pPr>
                        <w:spacing w:after="120" w:line="240" w:lineRule="auto"/>
                        <w:jc w:val="center"/>
                        <w:rPr>
                          <w:rFonts w:ascii="Times New Roman" w:hAnsi="Times New Roman"/>
                          <w:sz w:val="18"/>
                          <w:szCs w:val="18"/>
                        </w:rPr>
                      </w:pPr>
                    </w:p>
                  </w:txbxContent>
                </v:textbox>
              </v:rect>
            </w:pict>
          </mc:Fallback>
        </mc:AlternateContent>
      </w:r>
    </w:p>
    <w:p w:rsidR="007D7FA2" w:rsidRPr="00E63330" w:rsidRDefault="007D7FA2" w:rsidP="005A5FE9">
      <w:pPr>
        <w:autoSpaceDE w:val="0"/>
        <w:autoSpaceDN w:val="0"/>
        <w:adjustRightInd w:val="0"/>
        <w:ind w:left="720"/>
        <w:jc w:val="both"/>
        <w:rPr>
          <w:rFonts w:ascii="Times New Roman" w:hAnsi="Times New Roman"/>
          <w:b/>
          <w:bCs/>
          <w:i/>
          <w:sz w:val="24"/>
          <w:szCs w:val="24"/>
          <w:highlight w:val="yellow"/>
          <w:u w:val="single"/>
        </w:rPr>
      </w:pPr>
    </w:p>
    <w:p w:rsidR="007D7FA2" w:rsidRPr="00E63330" w:rsidRDefault="00794DF8" w:rsidP="005A5FE9">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5920" behindDoc="0" locked="0" layoutInCell="1" allowOverlap="1" wp14:anchorId="41589C55" wp14:editId="7F72481C">
                <wp:simplePos x="0" y="0"/>
                <wp:positionH relativeFrom="column">
                  <wp:posOffset>4703445</wp:posOffset>
                </wp:positionH>
                <wp:positionV relativeFrom="paragraph">
                  <wp:posOffset>208280</wp:posOffset>
                </wp:positionV>
                <wp:extent cx="1520190" cy="1240155"/>
                <wp:effectExtent l="8255" t="11430" r="14605" b="2476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2401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4820B4">
                            <w:pPr>
                              <w:spacing w:after="120" w:line="240" w:lineRule="auto"/>
                              <w:jc w:val="center"/>
                              <w:rPr>
                                <w:rFonts w:ascii="Times New Roman" w:hAnsi="Times New Roman"/>
                                <w:sz w:val="18"/>
                                <w:szCs w:val="18"/>
                              </w:rPr>
                            </w:pPr>
                            <w:r>
                              <w:rPr>
                                <w:rFonts w:ascii="Times New Roman" w:hAnsi="Times New Roman"/>
                                <w:sz w:val="18"/>
                                <w:szCs w:val="18"/>
                              </w:rPr>
                              <w:t>3.2</w:t>
                            </w:r>
                          </w:p>
                          <w:p w:rsidR="00E74997" w:rsidRPr="00535AFA" w:rsidRDefault="00E74997" w:rsidP="00E459AB">
                            <w:pPr>
                              <w:spacing w:after="120" w:line="240" w:lineRule="auto"/>
                              <w:jc w:val="center"/>
                              <w:rPr>
                                <w:sz w:val="28"/>
                              </w:rPr>
                            </w:pPr>
                            <w:r w:rsidRPr="008914BA">
                              <w:rPr>
                                <w:rFonts w:ascii="Times New Roman" w:hAnsi="Times New Roman"/>
                                <w:sz w:val="16"/>
                                <w:szCs w:val="16"/>
                              </w:rPr>
                              <w:t>Garantire un adeguato livello di sicurezza delle informazioni</w:t>
                            </w:r>
                          </w:p>
                          <w:p w:rsidR="00E74997" w:rsidRPr="007B183D" w:rsidRDefault="00E74997" w:rsidP="007B183D">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370.35pt;margin-top:16.4pt;width:119.7pt;height:9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" fillcolor="#95b3d7" strokecolor="#95b3d7" strokeweight="1pt">
                <v:fill color2="#dbe5f1" angle="135" focus="50%" type="gradient"/>
                <v:shadow on="t" color="#243f60" opacity=".5" offset="1pt"/>
                <v:textbox>
                  <w:txbxContent>
                    <w:p w:rsidR="00E74997" w:rsidRDefault="00E74997" w:rsidP="004820B4">
                      <w:pPr>
                        <w:spacing w:after="120" w:line="240" w:lineRule="auto"/>
                        <w:jc w:val="center"/>
                        <w:rPr>
                          <w:rFonts w:ascii="Times New Roman" w:hAnsi="Times New Roman"/>
                          <w:sz w:val="18"/>
                          <w:szCs w:val="18"/>
                        </w:rPr>
                      </w:pPr>
                      <w:r>
                        <w:rPr>
                          <w:rFonts w:ascii="Times New Roman" w:hAnsi="Times New Roman"/>
                          <w:sz w:val="18"/>
                          <w:szCs w:val="18"/>
                        </w:rPr>
                        <w:t>3.2</w:t>
                      </w:r>
                    </w:p>
                    <w:p w:rsidR="00E74997" w:rsidRPr="00535AFA" w:rsidRDefault="00E74997" w:rsidP="00E459AB">
                      <w:pPr>
                        <w:spacing w:after="120" w:line="240" w:lineRule="auto"/>
                        <w:jc w:val="center"/>
                        <w:rPr>
                          <w:sz w:val="28"/>
                        </w:rPr>
                      </w:pPr>
                      <w:r w:rsidRPr="008914BA">
                        <w:rPr>
                          <w:rFonts w:ascii="Times New Roman" w:hAnsi="Times New Roman"/>
                          <w:sz w:val="16"/>
                          <w:szCs w:val="16"/>
                        </w:rPr>
                        <w:t>Garantire un adeguato livello di sicurezza delle informazioni</w:t>
                      </w:r>
                    </w:p>
                    <w:p w:rsidR="00E74997" w:rsidRPr="007B183D" w:rsidRDefault="00E74997" w:rsidP="007B183D">
                      <w:pPr>
                        <w:spacing w:after="120" w:line="240" w:lineRule="auto"/>
                        <w:jc w:val="center"/>
                        <w:rPr>
                          <w:rFonts w:ascii="Times New Roman" w:hAnsi="Times New Roman"/>
                          <w:sz w:val="18"/>
                          <w:szCs w:val="18"/>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7728" behindDoc="0" locked="0" layoutInCell="1" allowOverlap="1" wp14:anchorId="5E455534" wp14:editId="24E28F79">
                <wp:simplePos x="0" y="0"/>
                <wp:positionH relativeFrom="column">
                  <wp:posOffset>-236220</wp:posOffset>
                </wp:positionH>
                <wp:positionV relativeFrom="paragraph">
                  <wp:posOffset>325120</wp:posOffset>
                </wp:positionV>
                <wp:extent cx="1441450" cy="759460"/>
                <wp:effectExtent l="12065" t="13970" r="13335" b="266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7594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E459AB">
                            <w:pPr>
                              <w:spacing w:after="120" w:line="240" w:lineRule="auto"/>
                              <w:jc w:val="center"/>
                              <w:rPr>
                                <w:rFonts w:ascii="Times New Roman" w:hAnsi="Times New Roman"/>
                                <w:sz w:val="16"/>
                                <w:szCs w:val="16"/>
                              </w:rPr>
                            </w:pPr>
                            <w:r>
                              <w:rPr>
                                <w:rFonts w:ascii="Times New Roman" w:hAnsi="Times New Roman"/>
                                <w:sz w:val="18"/>
                                <w:szCs w:val="18"/>
                              </w:rPr>
                              <w:t>1.3</w:t>
                            </w:r>
                          </w:p>
                          <w:p w:rsidR="00E74997" w:rsidRPr="00535AFA" w:rsidRDefault="00E74997" w:rsidP="00E459AB">
                            <w:pPr>
                              <w:spacing w:after="120" w:line="240" w:lineRule="auto"/>
                              <w:jc w:val="center"/>
                              <w:rPr>
                                <w:sz w:val="28"/>
                              </w:rPr>
                            </w:pPr>
                            <w:r w:rsidRPr="008914BA">
                              <w:rPr>
                                <w:rFonts w:ascii="Times New Roman" w:hAnsi="Times New Roman"/>
                                <w:sz w:val="16"/>
                                <w:szCs w:val="16"/>
                              </w:rPr>
                              <w:t>Garantire un’adeguata attività di controllo</w:t>
                            </w:r>
                          </w:p>
                          <w:p w:rsidR="00E74997" w:rsidRDefault="00E74997" w:rsidP="00EC710E">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18.6pt;margin-top:25.6pt;width:113.5pt;height:5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" fillcolor="#95b3d7" strokecolor="#95b3d7" strokeweight="1pt">
                <v:fill color2="#dbe5f1" angle="135" focus="50%" type="gradient"/>
                <v:shadow on="t" color="#243f60" opacity=".5" offset="1pt"/>
                <v:textbox>
                  <w:txbxContent>
                    <w:p w:rsidR="00E74997" w:rsidRDefault="00E74997" w:rsidP="00E459AB">
                      <w:pPr>
                        <w:spacing w:after="120" w:line="240" w:lineRule="auto"/>
                        <w:jc w:val="center"/>
                        <w:rPr>
                          <w:rFonts w:ascii="Times New Roman" w:hAnsi="Times New Roman"/>
                          <w:sz w:val="16"/>
                          <w:szCs w:val="16"/>
                        </w:rPr>
                      </w:pPr>
                      <w:r>
                        <w:rPr>
                          <w:rFonts w:ascii="Times New Roman" w:hAnsi="Times New Roman"/>
                          <w:sz w:val="18"/>
                          <w:szCs w:val="18"/>
                        </w:rPr>
                        <w:t>1.3</w:t>
                      </w:r>
                    </w:p>
                    <w:p w:rsidR="00E74997" w:rsidRPr="00535AFA" w:rsidRDefault="00E74997" w:rsidP="00E459AB">
                      <w:pPr>
                        <w:spacing w:after="120" w:line="240" w:lineRule="auto"/>
                        <w:jc w:val="center"/>
                        <w:rPr>
                          <w:sz w:val="28"/>
                        </w:rPr>
                      </w:pPr>
                      <w:r w:rsidRPr="008914BA">
                        <w:rPr>
                          <w:rFonts w:ascii="Times New Roman" w:hAnsi="Times New Roman"/>
                          <w:sz w:val="16"/>
                          <w:szCs w:val="16"/>
                        </w:rPr>
                        <w:t>Garantire un’adeguata attività di controllo</w:t>
                      </w:r>
                    </w:p>
                    <w:p w:rsidR="00E74997" w:rsidRDefault="00E74997" w:rsidP="00EC710E">
                      <w:pPr>
                        <w:spacing w:after="120" w:line="240" w:lineRule="auto"/>
                        <w:jc w:val="center"/>
                        <w:rPr>
                          <w:rFonts w:ascii="Times New Roman" w:hAnsi="Times New Roman"/>
                          <w:sz w:val="18"/>
                          <w:szCs w:val="18"/>
                        </w:rPr>
                      </w:pPr>
                    </w:p>
                  </w:txbxContent>
                </v:textbox>
              </v:rect>
            </w:pict>
          </mc:Fallback>
        </mc:AlternateContent>
      </w:r>
    </w:p>
    <w:p w:rsidR="007D7FA2" w:rsidRPr="00E63330" w:rsidRDefault="007D7FA2" w:rsidP="00E13E4C">
      <w:pPr>
        <w:autoSpaceDE w:val="0"/>
        <w:autoSpaceDN w:val="0"/>
        <w:adjustRightInd w:val="0"/>
        <w:ind w:left="720"/>
        <w:jc w:val="both"/>
        <w:rPr>
          <w:rFonts w:ascii="Times New Roman" w:hAnsi="Times New Roman"/>
          <w:b/>
          <w:bCs/>
          <w:i/>
          <w:sz w:val="24"/>
          <w:szCs w:val="24"/>
          <w:highlight w:val="yellow"/>
          <w:u w:val="single"/>
        </w:rPr>
      </w:pPr>
    </w:p>
    <w:p w:rsidR="007D7FA2" w:rsidRPr="00E63330" w:rsidRDefault="007D7FA2" w:rsidP="00F30DDB">
      <w:pPr>
        <w:autoSpaceDE w:val="0"/>
        <w:autoSpaceDN w:val="0"/>
        <w:adjustRightInd w:val="0"/>
        <w:ind w:left="720"/>
        <w:jc w:val="both"/>
        <w:rPr>
          <w:rFonts w:ascii="Times New Roman" w:hAnsi="Times New Roman"/>
          <w:b/>
          <w:bCs/>
          <w:i/>
          <w:sz w:val="24"/>
          <w:szCs w:val="24"/>
          <w:highlight w:val="yellow"/>
          <w:u w:val="single"/>
        </w:rPr>
      </w:pPr>
    </w:p>
    <w:p w:rsidR="007D7FA2" w:rsidRPr="00E63330" w:rsidRDefault="00794DF8"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8752" behindDoc="0" locked="0" layoutInCell="1" allowOverlap="1" wp14:anchorId="22A6D7CC" wp14:editId="75B1617B">
                <wp:simplePos x="0" y="0"/>
                <wp:positionH relativeFrom="column">
                  <wp:posOffset>-236220</wp:posOffset>
                </wp:positionH>
                <wp:positionV relativeFrom="paragraph">
                  <wp:posOffset>228600</wp:posOffset>
                </wp:positionV>
                <wp:extent cx="1498600" cy="702310"/>
                <wp:effectExtent l="12065" t="7620" r="13335" b="23495"/>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023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E459AB">
                            <w:pPr>
                              <w:spacing w:after="120" w:line="240" w:lineRule="auto"/>
                              <w:jc w:val="center"/>
                              <w:rPr>
                                <w:rFonts w:ascii="Times New Roman" w:hAnsi="Times New Roman"/>
                                <w:sz w:val="16"/>
                                <w:szCs w:val="16"/>
                              </w:rPr>
                            </w:pPr>
                            <w:r>
                              <w:rPr>
                                <w:rFonts w:ascii="Times New Roman" w:hAnsi="Times New Roman"/>
                                <w:sz w:val="18"/>
                                <w:szCs w:val="18"/>
                              </w:rPr>
                              <w:t>1.4</w:t>
                            </w:r>
                          </w:p>
                          <w:p w:rsidR="00E74997" w:rsidRPr="00535AFA" w:rsidRDefault="00E74997" w:rsidP="00E459AB">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monitoraggio dell’Agenzia</w:t>
                            </w:r>
                          </w:p>
                          <w:p w:rsidR="00E74997" w:rsidRDefault="00E74997" w:rsidP="005A5FE9">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8" style="position:absolute;left:0;text-align:left;margin-left:-18.6pt;margin-top:18pt;width:118pt;height:5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" fillcolor="#95b3d7" strokecolor="#95b3d7" strokeweight="1pt">
                <v:fill color2="#dbe5f1" angle="135" focus="50%" type="gradient"/>
                <v:shadow on="t" color="#243f60" opacity=".5" offset="1pt"/>
                <v:textbox>
                  <w:txbxContent>
                    <w:p w:rsidR="00E74997" w:rsidRDefault="00E74997" w:rsidP="00E459AB">
                      <w:pPr>
                        <w:spacing w:after="120" w:line="240" w:lineRule="auto"/>
                        <w:jc w:val="center"/>
                        <w:rPr>
                          <w:rFonts w:ascii="Times New Roman" w:hAnsi="Times New Roman"/>
                          <w:sz w:val="16"/>
                          <w:szCs w:val="16"/>
                        </w:rPr>
                      </w:pPr>
                      <w:r>
                        <w:rPr>
                          <w:rFonts w:ascii="Times New Roman" w:hAnsi="Times New Roman"/>
                          <w:sz w:val="18"/>
                          <w:szCs w:val="18"/>
                        </w:rPr>
                        <w:t>1.4</w:t>
                      </w:r>
                    </w:p>
                    <w:p w:rsidR="00E74997" w:rsidRPr="00535AFA" w:rsidRDefault="00E74997" w:rsidP="00E459AB">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monitoraggio dell’Agenzia</w:t>
                      </w:r>
                    </w:p>
                    <w:p w:rsidR="00E74997" w:rsidRDefault="00E74997" w:rsidP="005A5FE9">
                      <w:pPr>
                        <w:spacing w:after="120" w:line="240" w:lineRule="auto"/>
                        <w:jc w:val="center"/>
                        <w:rPr>
                          <w:rFonts w:ascii="Times New Roman" w:hAnsi="Times New Roman"/>
                          <w:sz w:val="18"/>
                          <w:szCs w:val="18"/>
                        </w:rPr>
                      </w:pPr>
                    </w:p>
                  </w:txbxContent>
                </v:textbox>
              </v:rect>
            </w:pict>
          </mc:Fallback>
        </mc:AlternateContent>
      </w:r>
    </w:p>
    <w:p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Pr="00E63330" w:rsidRDefault="00794DF8"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2848" behindDoc="0" locked="0" layoutInCell="1" allowOverlap="1" wp14:anchorId="30F5AA9D" wp14:editId="5B9F1755">
                <wp:simplePos x="0" y="0"/>
                <wp:positionH relativeFrom="column">
                  <wp:posOffset>-236220</wp:posOffset>
                </wp:positionH>
                <wp:positionV relativeFrom="paragraph">
                  <wp:posOffset>27940</wp:posOffset>
                </wp:positionV>
                <wp:extent cx="1498600" cy="808355"/>
                <wp:effectExtent l="12065" t="11430" r="13335" b="2794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08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E74997" w:rsidRPr="0075212D" w:rsidRDefault="00E7499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rsidR="00E74997" w:rsidRPr="00535AFA" w:rsidRDefault="00E7499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18.6pt;margin-top:2.2pt;width:118pt;height:6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" fillcolor="#95b3d7" strokecolor="#95b3d7" strokeweight="1pt">
                <v:fill color2="#dbe5f1" angle="135" focus="50%" type="gradient"/>
                <v:shadow on="t" color="#243f60" opacity=".5" offset="1pt"/>
                <v:textbox>
                  <w:txbxContent>
                    <w:p w:rsidR="00E74997" w:rsidRDefault="00E7499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E74997" w:rsidRPr="0075212D" w:rsidRDefault="00E7499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rsidR="00E74997" w:rsidRPr="00535AFA" w:rsidRDefault="00E74997" w:rsidP="003E300E">
                      <w:pPr>
                        <w:spacing w:after="120" w:line="240" w:lineRule="auto"/>
                        <w:jc w:val="center"/>
                        <w:rPr>
                          <w:sz w:val="28"/>
                        </w:rPr>
                      </w:pPr>
                    </w:p>
                  </w:txbxContent>
                </v:textbox>
              </v:rect>
            </w:pict>
          </mc:Fallback>
        </mc:AlternateContent>
      </w:r>
    </w:p>
    <w:p w:rsidR="008914BA" w:rsidRPr="00E63330" w:rsidRDefault="008914BA" w:rsidP="00F30DDB">
      <w:pPr>
        <w:autoSpaceDE w:val="0"/>
        <w:autoSpaceDN w:val="0"/>
        <w:adjustRightInd w:val="0"/>
        <w:jc w:val="both"/>
        <w:rPr>
          <w:rFonts w:ascii="Times New Roman" w:hAnsi="Times New Roman"/>
          <w:b/>
          <w:bCs/>
          <w:i/>
          <w:sz w:val="24"/>
          <w:szCs w:val="24"/>
          <w:u w:val="single"/>
        </w:rPr>
      </w:pPr>
    </w:p>
    <w:p w:rsidR="008914BA" w:rsidRPr="00E63330" w:rsidRDefault="00794DF8"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lang w:eastAsia="it-IT"/>
        </w:rPr>
        <mc:AlternateContent>
          <mc:Choice Requires="wps">
            <w:drawing>
              <wp:anchor distT="0" distB="0" distL="114300" distR="114300" simplePos="0" relativeHeight="251663872" behindDoc="0" locked="0" layoutInCell="1" allowOverlap="1" wp14:anchorId="014F10F8" wp14:editId="514A9B96">
                <wp:simplePos x="0" y="0"/>
                <wp:positionH relativeFrom="column">
                  <wp:posOffset>-236220</wp:posOffset>
                </wp:positionH>
                <wp:positionV relativeFrom="paragraph">
                  <wp:posOffset>238125</wp:posOffset>
                </wp:positionV>
                <wp:extent cx="1498600" cy="967740"/>
                <wp:effectExtent l="12065" t="12065" r="13335" b="2984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9677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74997" w:rsidRDefault="00E7499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E74997" w:rsidRDefault="00E7499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rsidR="00E74997" w:rsidRPr="00535AFA" w:rsidRDefault="00E74997" w:rsidP="0075212D">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18.6pt;margin-top:18.75pt;width:118pt;height:7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" fillcolor="#95b3d7" strokecolor="#95b3d7" strokeweight="1pt">
                <v:fill color2="#dbe5f1" angle="135" focus="50%" type="gradient"/>
                <v:shadow on="t" color="#243f60" opacity=".5" offset="1pt"/>
                <v:textbox>
                  <w:txbxContent>
                    <w:p w:rsidR="00E74997" w:rsidRDefault="00E7499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E74997" w:rsidRDefault="00E7499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rsidR="00E74997" w:rsidRPr="00535AFA" w:rsidRDefault="00E74997" w:rsidP="0075212D">
                      <w:pPr>
                        <w:spacing w:after="120" w:line="240" w:lineRule="auto"/>
                        <w:jc w:val="center"/>
                        <w:rPr>
                          <w:sz w:val="28"/>
                        </w:rPr>
                      </w:pPr>
                    </w:p>
                  </w:txbxContent>
                </v:textbox>
              </v:rect>
            </w:pict>
          </mc:Fallback>
        </mc:AlternateContent>
      </w:r>
    </w:p>
    <w:p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647A4" w:rsidRPr="00E63330" w:rsidRDefault="00E647A4"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8B10D1" w:rsidRPr="00E63330" w:rsidRDefault="008B10D1" w:rsidP="002F58B2">
      <w:pPr>
        <w:pStyle w:val="Titolo1"/>
        <w:numPr>
          <w:ilvl w:val="0"/>
          <w:numId w:val="0"/>
        </w:numPr>
        <w:ind w:left="720"/>
      </w:pPr>
    </w:p>
    <w:bookmarkEnd w:id="119"/>
    <w:bookmarkEnd w:id="120"/>
    <w:bookmarkEnd w:id="121"/>
    <w:p w:rsidR="00594FB8" w:rsidRPr="003C3367" w:rsidRDefault="00594FB8" w:rsidP="00594FB8">
      <w:pPr>
        <w:rPr>
          <w:rFonts w:ascii="Times New Roman" w:hAnsi="Times New Roman"/>
        </w:rPr>
      </w:pPr>
    </w:p>
    <w:p w:rsidR="00EC41D2" w:rsidRPr="00E63330" w:rsidRDefault="0096592E" w:rsidP="002F58B2">
      <w:pPr>
        <w:pStyle w:val="Titolo1"/>
      </w:pPr>
      <w:bookmarkStart w:id="122" w:name="_Toc1046963"/>
      <w:r w:rsidRPr="003C3367">
        <w:lastRenderedPageBreak/>
        <w:t>Il processo seguito nel ciclo di gestione delle performance</w:t>
      </w:r>
      <w:bookmarkEnd w:id="122"/>
    </w:p>
    <w:p w:rsidR="00EC41D2" w:rsidRPr="00E63330" w:rsidRDefault="00EC41D2" w:rsidP="00EC41D2">
      <w:pPr>
        <w:autoSpaceDE w:val="0"/>
        <w:autoSpaceDN w:val="0"/>
        <w:adjustRightInd w:val="0"/>
        <w:spacing w:after="0" w:line="240" w:lineRule="auto"/>
        <w:ind w:left="2160"/>
        <w:rPr>
          <w:rFonts w:ascii="Times New Roman" w:hAnsi="Times New Roman"/>
          <w:b/>
          <w:i/>
          <w:sz w:val="24"/>
          <w:highlight w:val="yellow"/>
          <w:u w:val="single"/>
        </w:rPr>
      </w:pPr>
    </w:p>
    <w:p w:rsidR="00EC41D2" w:rsidRPr="00E63330" w:rsidRDefault="0096592E" w:rsidP="00312C3B">
      <w:pPr>
        <w:numPr>
          <w:ilvl w:val="0"/>
          <w:numId w:val="13"/>
        </w:numPr>
        <w:autoSpaceDE w:val="0"/>
        <w:autoSpaceDN w:val="0"/>
        <w:adjustRightInd w:val="0"/>
        <w:spacing w:after="0" w:line="240" w:lineRule="auto"/>
        <w:ind w:left="567" w:hanging="283"/>
        <w:rPr>
          <w:rFonts w:ascii="Times New Roman" w:hAnsi="Times New Roman"/>
          <w:b/>
          <w:sz w:val="24"/>
          <w:u w:val="single"/>
        </w:rPr>
      </w:pPr>
      <w:r w:rsidRPr="003C3367">
        <w:rPr>
          <w:rFonts w:ascii="Times New Roman" w:hAnsi="Times New Roman"/>
          <w:b/>
          <w:sz w:val="24"/>
          <w:u w:val="single"/>
        </w:rPr>
        <w:t>I soggetti del sistema di valutazione e misurazione della performance</w:t>
      </w:r>
    </w:p>
    <w:p w:rsidR="00EC41D2" w:rsidRPr="00E63330" w:rsidRDefault="0096592E" w:rsidP="00E44808">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All’interno del sistema devono essere chiaramente individuati i soggetti/strutture responsabili </w:t>
      </w:r>
      <w:proofErr w:type="spellStart"/>
      <w:r w:rsidRPr="003C3367">
        <w:rPr>
          <w:rFonts w:ascii="Times New Roman" w:hAnsi="Times New Roman"/>
          <w:sz w:val="24"/>
        </w:rPr>
        <w:t>perogni</w:t>
      </w:r>
      <w:proofErr w:type="spellEnd"/>
      <w:r w:rsidRPr="003C3367">
        <w:rPr>
          <w:rFonts w:ascii="Times New Roman" w:hAnsi="Times New Roman"/>
          <w:sz w:val="24"/>
        </w:rPr>
        <w:t xml:space="preserve"> fase del processo di misurazione e valutazione della performance. I soggetti sono:</w:t>
      </w:r>
    </w:p>
    <w:p w:rsidR="00151A28" w:rsidRPr="00E63330" w:rsidRDefault="00151A28" w:rsidP="00E44808">
      <w:pPr>
        <w:autoSpaceDE w:val="0"/>
        <w:autoSpaceDN w:val="0"/>
        <w:adjustRightInd w:val="0"/>
        <w:spacing w:after="0"/>
        <w:jc w:val="both"/>
        <w:rPr>
          <w:rFonts w:ascii="Times New Roman" w:hAnsi="Times New Roman"/>
          <w:sz w:val="24"/>
        </w:rPr>
      </w:pPr>
    </w:p>
    <w:p w:rsidR="00E647A4" w:rsidRPr="00E63330" w:rsidRDefault="0096592E" w:rsidP="00E647A4">
      <w:pPr>
        <w:numPr>
          <w:ilvl w:val="1"/>
          <w:numId w:val="2"/>
        </w:numPr>
        <w:autoSpaceDE w:val="0"/>
        <w:autoSpaceDN w:val="0"/>
        <w:adjustRightInd w:val="0"/>
        <w:spacing w:after="120"/>
        <w:ind w:left="306" w:hanging="306"/>
        <w:jc w:val="both"/>
        <w:rPr>
          <w:rFonts w:ascii="Times New Roman" w:hAnsi="Times New Roman"/>
          <w:sz w:val="24"/>
        </w:rPr>
      </w:pPr>
      <w:r w:rsidRPr="003C3367">
        <w:rPr>
          <w:rFonts w:ascii="Times New Roman" w:hAnsi="Times New Roman"/>
          <w:sz w:val="24"/>
          <w:u w:val="single"/>
        </w:rPr>
        <w:t xml:space="preserve">Organismo di indirizzo politico-amministrativo </w:t>
      </w:r>
    </w:p>
    <w:p w:rsidR="00A03977" w:rsidRPr="00E63330" w:rsidRDefault="0096592E" w:rsidP="00E647A4">
      <w:pPr>
        <w:numPr>
          <w:ilvl w:val="0"/>
          <w:numId w:val="2"/>
        </w:numPr>
        <w:autoSpaceDE w:val="0"/>
        <w:autoSpaceDN w:val="0"/>
        <w:adjustRightInd w:val="0"/>
        <w:spacing w:after="120"/>
        <w:jc w:val="both"/>
        <w:rPr>
          <w:rFonts w:ascii="Times New Roman" w:hAnsi="Times New Roman"/>
          <w:sz w:val="24"/>
        </w:rPr>
      </w:pPr>
      <w:r w:rsidRPr="003C3367">
        <w:rPr>
          <w:rFonts w:ascii="Times New Roman" w:hAnsi="Times New Roman"/>
          <w:sz w:val="24"/>
        </w:rPr>
        <w:t>Assegna gli obiettivi al Direttore dell’ARCEA, in coerenza con il programma di governo regionale e nel rispetto delle disposizioni comunitarie e nazionali di settore;</w:t>
      </w:r>
    </w:p>
    <w:p w:rsidR="00A03977" w:rsidRPr="00E63330" w:rsidRDefault="0096592E" w:rsidP="00E647A4">
      <w:pPr>
        <w:numPr>
          <w:ilvl w:val="0"/>
          <w:numId w:val="2"/>
        </w:numPr>
        <w:autoSpaceDE w:val="0"/>
        <w:autoSpaceDN w:val="0"/>
        <w:adjustRightInd w:val="0"/>
        <w:spacing w:after="0"/>
        <w:jc w:val="both"/>
        <w:rPr>
          <w:rFonts w:ascii="Times New Roman" w:hAnsi="Times New Roman"/>
          <w:sz w:val="24"/>
        </w:rPr>
      </w:pPr>
      <w:r w:rsidRPr="003C3367">
        <w:rPr>
          <w:rFonts w:ascii="Times New Roman" w:hAnsi="Times New Roman"/>
          <w:sz w:val="24"/>
        </w:rPr>
        <w:t>Valuta l’operato del Direttore dell’ARCEA mediante apposita scheda di valutazione, previa analisi della relazione sulle attività svolte presentata da quest’ultimo.</w:t>
      </w:r>
    </w:p>
    <w:p w:rsidR="00A03977" w:rsidRPr="00E63330" w:rsidRDefault="00A03977" w:rsidP="00A03977">
      <w:pPr>
        <w:autoSpaceDE w:val="0"/>
        <w:autoSpaceDN w:val="0"/>
        <w:adjustRightInd w:val="0"/>
        <w:spacing w:after="0"/>
        <w:ind w:left="1440"/>
        <w:jc w:val="both"/>
        <w:rPr>
          <w:rFonts w:ascii="Times New Roman" w:hAnsi="Times New Roman"/>
          <w:sz w:val="24"/>
        </w:rPr>
      </w:pPr>
    </w:p>
    <w:p w:rsidR="00E44808" w:rsidRPr="00E63330" w:rsidRDefault="00E44808" w:rsidP="00E44808">
      <w:pPr>
        <w:autoSpaceDE w:val="0"/>
        <w:autoSpaceDN w:val="0"/>
        <w:adjustRightInd w:val="0"/>
        <w:spacing w:after="0"/>
        <w:jc w:val="both"/>
        <w:rPr>
          <w:rFonts w:ascii="Times New Roman" w:hAnsi="Times New Roman"/>
          <w:sz w:val="16"/>
        </w:rPr>
      </w:pPr>
    </w:p>
    <w:p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b) </w:t>
      </w:r>
      <w:r w:rsidRPr="00602596">
        <w:rPr>
          <w:rFonts w:ascii="Times New Roman" w:hAnsi="Times New Roman"/>
          <w:sz w:val="24"/>
          <w:u w:val="single"/>
        </w:rPr>
        <w:t>Direttore:</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con il supporto dei dirigenti, l’andamento della performance organizzativa,</w:t>
      </w:r>
      <w:r w:rsidR="00AD0FFB">
        <w:rPr>
          <w:rFonts w:ascii="Times New Roman" w:hAnsi="Times New Roman"/>
          <w:sz w:val="24"/>
        </w:rPr>
        <w:t xml:space="preserve"> </w:t>
      </w:r>
      <w:r w:rsidRPr="006C5DF3">
        <w:rPr>
          <w:rFonts w:ascii="Times New Roman" w:hAnsi="Times New Roman"/>
          <w:sz w:val="24"/>
        </w:rPr>
        <w:t>proponendo, ove necessario, interventi correttivi in corso d’esercizio;</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strategici ai dirigenti;</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dirigenti, su pr</w:t>
      </w:r>
      <w:r w:rsidRPr="00602596">
        <w:rPr>
          <w:rFonts w:ascii="Times New Roman" w:hAnsi="Times New Roman"/>
          <w:sz w:val="24"/>
        </w:rPr>
        <w:t>oposta dell’OIV;</w:t>
      </w:r>
    </w:p>
    <w:p w:rsidR="002F0D00"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dipendenti assegnati ad Uffici/Servizi sprovvisti di dirigente</w:t>
      </w:r>
    </w:p>
    <w:p w:rsidR="00E44808" w:rsidRPr="00E63330" w:rsidRDefault="00E44808" w:rsidP="00E44808">
      <w:pPr>
        <w:autoSpaceDE w:val="0"/>
        <w:autoSpaceDN w:val="0"/>
        <w:adjustRightInd w:val="0"/>
        <w:spacing w:after="0"/>
        <w:jc w:val="both"/>
        <w:rPr>
          <w:rFonts w:ascii="Times New Roman" w:hAnsi="Times New Roman"/>
          <w:sz w:val="24"/>
        </w:rPr>
      </w:pPr>
    </w:p>
    <w:p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c) </w:t>
      </w:r>
      <w:r w:rsidRPr="00602596">
        <w:rPr>
          <w:rFonts w:ascii="Times New Roman" w:hAnsi="Times New Roman"/>
          <w:sz w:val="24"/>
          <w:u w:val="single"/>
        </w:rPr>
        <w:t>Dirigente:</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applica la metodologia di misurazione e valutazione prevista nel sistema;</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al proprio persona</w:t>
      </w:r>
      <w:r w:rsidRPr="00602596">
        <w:rPr>
          <w:rFonts w:ascii="Times New Roman" w:hAnsi="Times New Roman"/>
          <w:sz w:val="24"/>
        </w:rPr>
        <w:t>le ed esegue la valutazione dello stesso;</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tutta la fase del processo di misurazione e valutazione, segnalando eventuali</w:t>
      </w:r>
      <w:r w:rsidR="00AD0FFB">
        <w:rPr>
          <w:rFonts w:ascii="Times New Roman" w:hAnsi="Times New Roman"/>
          <w:sz w:val="24"/>
        </w:rPr>
        <w:t xml:space="preserve"> </w:t>
      </w:r>
      <w:r w:rsidRPr="006C5DF3">
        <w:rPr>
          <w:rFonts w:ascii="Times New Roman" w:hAnsi="Times New Roman"/>
          <w:sz w:val="24"/>
        </w:rPr>
        <w:t>criticità rilevate.</w:t>
      </w:r>
    </w:p>
    <w:p w:rsidR="00E44808" w:rsidRPr="00E63330" w:rsidRDefault="00E44808" w:rsidP="00E44808">
      <w:pPr>
        <w:autoSpaceDE w:val="0"/>
        <w:autoSpaceDN w:val="0"/>
        <w:adjustRightInd w:val="0"/>
        <w:spacing w:after="120"/>
        <w:jc w:val="both"/>
        <w:rPr>
          <w:rFonts w:ascii="Times New Roman" w:hAnsi="Times New Roman"/>
          <w:sz w:val="18"/>
        </w:rPr>
      </w:pPr>
    </w:p>
    <w:p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d) </w:t>
      </w:r>
      <w:r w:rsidRPr="00602596">
        <w:rPr>
          <w:rFonts w:ascii="Times New Roman" w:hAnsi="Times New Roman"/>
          <w:sz w:val="24"/>
          <w:u w:val="single"/>
        </w:rPr>
        <w:t>Personale:</w:t>
      </w:r>
    </w:p>
    <w:p w:rsidR="00E4480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tutto il processo di misurazione e valutazione, come soggetto che deve ess</w:t>
      </w:r>
      <w:r w:rsidRPr="00602596">
        <w:rPr>
          <w:rFonts w:ascii="Times New Roman" w:hAnsi="Times New Roman"/>
          <w:sz w:val="24"/>
        </w:rPr>
        <w:t>ere</w:t>
      </w:r>
      <w:r w:rsidR="00AD0FFB">
        <w:rPr>
          <w:rFonts w:ascii="Times New Roman" w:hAnsi="Times New Roman"/>
          <w:sz w:val="24"/>
        </w:rPr>
        <w:t xml:space="preserve"> </w:t>
      </w:r>
      <w:r w:rsidRPr="00602596">
        <w:rPr>
          <w:rFonts w:ascii="Times New Roman" w:hAnsi="Times New Roman"/>
          <w:sz w:val="24"/>
        </w:rPr>
        <w:t>informato e coinvolto nella definizione degli obiettivi e dei criteri di misurazione e valutazione.</w:t>
      </w:r>
    </w:p>
    <w:p w:rsidR="00E44808" w:rsidRPr="00E63330" w:rsidRDefault="00E44808" w:rsidP="00E44808">
      <w:pPr>
        <w:autoSpaceDE w:val="0"/>
        <w:autoSpaceDN w:val="0"/>
        <w:adjustRightInd w:val="0"/>
        <w:spacing w:after="120"/>
        <w:jc w:val="both"/>
        <w:rPr>
          <w:rFonts w:ascii="Times New Roman" w:hAnsi="Times New Roman"/>
          <w:sz w:val="10"/>
        </w:rPr>
      </w:pPr>
    </w:p>
    <w:p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 </w:t>
      </w:r>
      <w:r w:rsidRPr="00602596">
        <w:rPr>
          <w:rFonts w:ascii="Times New Roman" w:hAnsi="Times New Roman"/>
          <w:sz w:val="24"/>
          <w:u w:val="single"/>
        </w:rPr>
        <w:t>Organismo Indipendente di Valutazione (OIV):</w:t>
      </w:r>
    </w:p>
    <w:p w:rsidR="00AF21D4" w:rsidRPr="00E63330" w:rsidRDefault="0096592E" w:rsidP="00AF21D4">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esprime parere preventivo e vincolante dell’OIV in merito all’aggiornamento del Sistema di misurazione e valutazione della performance; </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misura e valuta la performance di cias</w:t>
      </w:r>
      <w:r w:rsidRPr="00602596">
        <w:rPr>
          <w:rFonts w:ascii="Times New Roman" w:hAnsi="Times New Roman"/>
          <w:sz w:val="24"/>
        </w:rPr>
        <w:t>cuna struttura amministrativa nel suo complesso;</w:t>
      </w:r>
    </w:p>
    <w:p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propone all’organo di indirizzo politico-amministrativo la valutazione annuale dei dirigenti;</w:t>
      </w:r>
    </w:p>
    <w:p w:rsidR="0016558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valida la Relazione sulla performance.</w:t>
      </w:r>
    </w:p>
    <w:p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lastRenderedPageBreak/>
        <w:t>Ai sensi dell’art. 13, comma 8 della L.R. n. 69 del 27 dicembre 2012, “</w:t>
      </w:r>
      <w:r w:rsidRPr="00602596">
        <w:rPr>
          <w:rFonts w:ascii="Times New Roman" w:hAnsi="Times New Roman"/>
          <w:i/>
          <w:sz w:val="24"/>
        </w:rPr>
        <w:t>Ai fini della verifica e della rendicontazione delle attività di controllo, nonché del raggiungimento degli obiettivi assegnati, gli Enti strumentali, gli Istituti, le Agenzie, le Aziende, gli altri enti dipendenti, ausiliari o vigilati dalla Regione, si avvalgono dell’Organismo regionale Indipendente di Valutazione (OIV) della performance della Regione Calabria, istituito ai sensi dell’art. 11, comma 1, della legge regionale 3 febbraio 2012 n. 3</w:t>
      </w:r>
      <w:r w:rsidRPr="00602596">
        <w:rPr>
          <w:rFonts w:ascii="Times New Roman" w:hAnsi="Times New Roman"/>
          <w:sz w:val="24"/>
        </w:rPr>
        <w:t>”.</w:t>
      </w:r>
    </w:p>
    <w:p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t>Pertanto, sulla scorta di tale disposizione normativa, l’ARCEA</w:t>
      </w:r>
      <w:r w:rsidRPr="00602596">
        <w:rPr>
          <w:rFonts w:ascii="Times New Roman" w:hAnsi="Times New Roman"/>
          <w:sz w:val="24"/>
        </w:rPr>
        <w:t xml:space="preserve"> si avvale dell’OIV regionale.</w:t>
      </w:r>
    </w:p>
    <w:p w:rsidR="00165588" w:rsidRPr="00E63330" w:rsidRDefault="00165588" w:rsidP="00E44808">
      <w:pPr>
        <w:autoSpaceDE w:val="0"/>
        <w:autoSpaceDN w:val="0"/>
        <w:adjustRightInd w:val="0"/>
        <w:spacing w:after="120"/>
        <w:jc w:val="both"/>
        <w:rPr>
          <w:rFonts w:ascii="Times New Roman" w:hAnsi="Times New Roman"/>
          <w:sz w:val="24"/>
        </w:rPr>
      </w:pPr>
    </w:p>
    <w:p w:rsidR="00EC41D2" w:rsidRPr="00E63330" w:rsidRDefault="0096592E" w:rsidP="00312C3B">
      <w:pPr>
        <w:numPr>
          <w:ilvl w:val="0"/>
          <w:numId w:val="14"/>
        </w:numPr>
        <w:autoSpaceDE w:val="0"/>
        <w:autoSpaceDN w:val="0"/>
        <w:adjustRightInd w:val="0"/>
        <w:spacing w:after="120"/>
        <w:jc w:val="both"/>
        <w:rPr>
          <w:rFonts w:ascii="Times New Roman" w:hAnsi="Times New Roman"/>
          <w:b/>
          <w:sz w:val="24"/>
          <w:u w:val="single"/>
        </w:rPr>
      </w:pPr>
      <w:r w:rsidRPr="006C5DF3">
        <w:rPr>
          <w:rFonts w:ascii="Times New Roman" w:hAnsi="Times New Roman"/>
          <w:b/>
          <w:sz w:val="24"/>
          <w:u w:val="single"/>
        </w:rPr>
        <w:t>Fasi, soggetti e tempi del processo di redazione del Piano</w:t>
      </w:r>
    </w:p>
    <w:p w:rsidR="00EC41D2" w:rsidRPr="00E63330" w:rsidRDefault="0096592E" w:rsidP="00AD1215">
      <w:pPr>
        <w:autoSpaceDE w:val="0"/>
        <w:autoSpaceDN w:val="0"/>
        <w:adjustRightInd w:val="0"/>
        <w:spacing w:after="120"/>
        <w:jc w:val="both"/>
        <w:rPr>
          <w:rFonts w:ascii="Times New Roman" w:hAnsi="Times New Roman"/>
          <w:sz w:val="24"/>
        </w:rPr>
      </w:pPr>
      <w:r w:rsidRPr="006C5DF3">
        <w:rPr>
          <w:rFonts w:ascii="Times New Roman" w:hAnsi="Times New Roman"/>
          <w:sz w:val="24"/>
        </w:rPr>
        <w:t>La Direzione, in relazione alle proprie strategie, definisce un Piano della performance triennale,</w:t>
      </w:r>
      <w:r w:rsidR="00AD0FFB">
        <w:rPr>
          <w:rFonts w:ascii="Times New Roman" w:hAnsi="Times New Roman"/>
          <w:sz w:val="24"/>
        </w:rPr>
        <w:t xml:space="preserve"> </w:t>
      </w:r>
      <w:r w:rsidRPr="006C5DF3">
        <w:rPr>
          <w:rFonts w:ascii="Times New Roman" w:hAnsi="Times New Roman"/>
          <w:sz w:val="24"/>
        </w:rPr>
        <w:t>integrato ed aggiornato annualmente.</w:t>
      </w:r>
    </w:p>
    <w:p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Le strategie sono quindi trasposte in obiettivi strategici e operativi che, con i relativi indicatori,</w:t>
      </w:r>
      <w:r w:rsidR="00AD0FFB">
        <w:rPr>
          <w:rFonts w:ascii="Times New Roman" w:hAnsi="Times New Roman"/>
          <w:sz w:val="24"/>
        </w:rPr>
        <w:t xml:space="preserve"> </w:t>
      </w:r>
      <w:r w:rsidRPr="006C5DF3">
        <w:rPr>
          <w:rFonts w:ascii="Times New Roman" w:hAnsi="Times New Roman"/>
          <w:sz w:val="24"/>
        </w:rPr>
        <w:t>vengono assegnati attraverso un processo di concertazione ai dirigenti e al personale dell’Agenzia.</w:t>
      </w:r>
    </w:p>
    <w:p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Il Piano della performance, adottato con Decreto del </w:t>
      </w:r>
      <w:r w:rsidRPr="00602596">
        <w:rPr>
          <w:rFonts w:ascii="Times New Roman" w:hAnsi="Times New Roman"/>
          <w:sz w:val="24"/>
        </w:rPr>
        <w:t>Direttore, viene pubblicato sul sito web</w:t>
      </w:r>
      <w:r w:rsidR="00AD0FFB">
        <w:rPr>
          <w:rFonts w:ascii="Times New Roman" w:hAnsi="Times New Roman"/>
          <w:sz w:val="24"/>
        </w:rPr>
        <w:t xml:space="preserve"> </w:t>
      </w:r>
      <w:r w:rsidRPr="00602596">
        <w:rPr>
          <w:rFonts w:ascii="Times New Roman" w:hAnsi="Times New Roman"/>
          <w:sz w:val="24"/>
        </w:rPr>
        <w:t>istituzionale dell’Agenzia (</w:t>
      </w:r>
      <w:hyperlink r:id="rId22" w:history="1">
        <w:r>
          <w:rPr>
            <w:rStyle w:val="Collegamentoipertestuale"/>
            <w:rFonts w:ascii="Times New Roman" w:hAnsi="Times New Roman"/>
            <w:sz w:val="24"/>
          </w:rPr>
          <w:t>www.arcea.it</w:t>
        </w:r>
      </w:hyperlink>
      <w:r w:rsidRPr="003C3367">
        <w:rPr>
          <w:rFonts w:ascii="Times New Roman" w:hAnsi="Times New Roman"/>
          <w:sz w:val="24"/>
        </w:rPr>
        <w:t>).</w:t>
      </w:r>
    </w:p>
    <w:p w:rsidR="000C6B75" w:rsidRPr="00E63330" w:rsidRDefault="0096592E" w:rsidP="000C6B75">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sz w:val="24"/>
          <w:szCs w:val="24"/>
          <w:lang w:eastAsia="it-IT"/>
        </w:rPr>
        <w:t>L’ARCEA, attraverso l’Ufficio “Monitoraggio e Comunicazione”, svolge riunioni periodiche, integrane da momenti di condivisione attraverso comunicazioni e-mail con i Dirigenti/responsabili degli Uffici dell’Agenzia, finalizzati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EC41D2" w:rsidRPr="00E63330" w:rsidRDefault="00EC41D2" w:rsidP="00937A40">
      <w:pPr>
        <w:autoSpaceDE w:val="0"/>
        <w:autoSpaceDN w:val="0"/>
        <w:adjustRightInd w:val="0"/>
        <w:ind w:left="720"/>
        <w:jc w:val="both"/>
        <w:rPr>
          <w:rFonts w:ascii="Times New Roman" w:hAnsi="Times New Roman"/>
          <w:b/>
          <w:sz w:val="24"/>
          <w:u w:val="single"/>
        </w:rPr>
      </w:pPr>
    </w:p>
    <w:p w:rsidR="00D759FC" w:rsidRPr="00E63330" w:rsidRDefault="0096592E" w:rsidP="00312C3B">
      <w:pPr>
        <w:numPr>
          <w:ilvl w:val="0"/>
          <w:numId w:val="14"/>
        </w:numPr>
        <w:autoSpaceDE w:val="0"/>
        <w:autoSpaceDN w:val="0"/>
        <w:adjustRightInd w:val="0"/>
        <w:spacing w:after="0" w:line="240" w:lineRule="auto"/>
        <w:rPr>
          <w:rFonts w:ascii="Times New Roman" w:hAnsi="Times New Roman"/>
          <w:b/>
          <w:sz w:val="24"/>
          <w:u w:val="single"/>
        </w:rPr>
      </w:pPr>
      <w:r w:rsidRPr="003C3367">
        <w:rPr>
          <w:rFonts w:ascii="Times New Roman" w:hAnsi="Times New Roman"/>
          <w:b/>
          <w:sz w:val="24"/>
          <w:u w:val="single"/>
        </w:rPr>
        <w:t>Coerenza con la programmazione economico-finanziaria e di bilancio</w:t>
      </w:r>
    </w:p>
    <w:p w:rsidR="00D759FC" w:rsidRPr="00E63330" w:rsidRDefault="00D759FC" w:rsidP="00D759FC">
      <w:pPr>
        <w:autoSpaceDE w:val="0"/>
        <w:autoSpaceDN w:val="0"/>
        <w:adjustRightInd w:val="0"/>
        <w:spacing w:after="0" w:line="240" w:lineRule="auto"/>
        <w:ind w:left="720"/>
        <w:rPr>
          <w:rFonts w:ascii="Times New Roman" w:hAnsi="Times New Roman"/>
          <w:b/>
          <w:sz w:val="24"/>
          <w:u w:val="single"/>
        </w:rPr>
      </w:pPr>
    </w:p>
    <w:p w:rsidR="00D759FC" w:rsidRPr="00E63330" w:rsidRDefault="0096592E"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sidRPr="003C3367">
        <w:rPr>
          <w:rFonts w:ascii="Times New Roman" w:eastAsia="Times New Roman" w:hAnsi="Times New Roman"/>
          <w:bCs/>
          <w:sz w:val="23"/>
          <w:szCs w:val="23"/>
          <w:lang w:eastAsia="it-IT"/>
        </w:rPr>
        <w:t>L’ARCEA, nell’ambito delle proprie competenze e sulla base del contributo di funzionamento riconosciuto dalla Regione Calabria, adotta annualmente il bilancio di previsione e quello pluriennale.</w:t>
      </w:r>
    </w:p>
    <w:p w:rsidR="00762B5D"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Il documento contabile è ancora in fase di predisposizione e sarà poi trasmesso per l’approvazione</w:t>
      </w:r>
      <w:r w:rsidR="00AD0FFB">
        <w:rPr>
          <w:rFonts w:ascii="Times New Roman" w:hAnsi="Times New Roman"/>
          <w:sz w:val="24"/>
        </w:rPr>
        <w:t xml:space="preserve"> </w:t>
      </w:r>
      <w:r w:rsidRPr="003C3367">
        <w:rPr>
          <w:rFonts w:ascii="Times New Roman" w:hAnsi="Times New Roman"/>
          <w:sz w:val="24"/>
        </w:rPr>
        <w:t>da parte della Giunta Regionale e, successivamente, del Consiglio, nel rispetto di quanto previsto dalla L.R. n. 8/2002.</w:t>
      </w:r>
    </w:p>
    <w:p w:rsidR="00D759FC"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La coerenza dei contenuti del Piano delle performance agli indirizzi del bilancio di previsione viene</w:t>
      </w:r>
      <w:r w:rsidR="00AD0FFB">
        <w:rPr>
          <w:rFonts w:ascii="Times New Roman" w:hAnsi="Times New Roman"/>
          <w:sz w:val="24"/>
        </w:rPr>
        <w:t xml:space="preserve"> </w:t>
      </w:r>
      <w:r w:rsidRPr="003C3367">
        <w:rPr>
          <w:rFonts w:ascii="Times New Roman" w:hAnsi="Times New Roman"/>
          <w:sz w:val="24"/>
        </w:rPr>
        <w:t>realizzata tramite:</w:t>
      </w:r>
    </w:p>
    <w:p w:rsidR="00D759FC" w:rsidRPr="00E63330" w:rsidRDefault="0096592E" w:rsidP="00711C07">
      <w:pPr>
        <w:numPr>
          <w:ilvl w:val="2"/>
          <w:numId w:val="2"/>
        </w:numPr>
        <w:autoSpaceDE w:val="0"/>
        <w:autoSpaceDN w:val="0"/>
        <w:adjustRightInd w:val="0"/>
        <w:spacing w:after="120"/>
        <w:ind w:left="284" w:hanging="284"/>
        <w:jc w:val="both"/>
        <w:rPr>
          <w:rFonts w:ascii="Times New Roman" w:hAnsi="Times New Roman"/>
          <w:sz w:val="24"/>
        </w:rPr>
      </w:pPr>
      <w:r w:rsidRPr="003C3367">
        <w:rPr>
          <w:rFonts w:ascii="Times New Roman" w:hAnsi="Times New Roman"/>
          <w:sz w:val="24"/>
        </w:rPr>
        <w:t>un parallelo percorso annuale di programmazione economico e finanziaria e di pianificazione</w:t>
      </w:r>
      <w:r w:rsidR="00AD0FFB">
        <w:rPr>
          <w:rFonts w:ascii="Times New Roman" w:hAnsi="Times New Roman"/>
          <w:sz w:val="24"/>
        </w:rPr>
        <w:t xml:space="preserve"> </w:t>
      </w:r>
      <w:r w:rsidRPr="003C3367">
        <w:rPr>
          <w:rFonts w:ascii="Times New Roman" w:hAnsi="Times New Roman"/>
          <w:sz w:val="24"/>
        </w:rPr>
        <w:t>delle performance;</w:t>
      </w:r>
    </w:p>
    <w:p w:rsidR="007117D1" w:rsidRPr="00E63330" w:rsidRDefault="0096592E" w:rsidP="00711C07">
      <w:pPr>
        <w:numPr>
          <w:ilvl w:val="2"/>
          <w:numId w:val="2"/>
        </w:numPr>
        <w:autoSpaceDE w:val="0"/>
        <w:autoSpaceDN w:val="0"/>
        <w:adjustRightInd w:val="0"/>
        <w:spacing w:after="0"/>
        <w:ind w:left="284" w:hanging="284"/>
        <w:jc w:val="both"/>
        <w:rPr>
          <w:rFonts w:ascii="Times New Roman" w:hAnsi="Times New Roman"/>
          <w:sz w:val="24"/>
        </w:rPr>
      </w:pPr>
      <w:r w:rsidRPr="003C3367">
        <w:rPr>
          <w:rFonts w:ascii="Times New Roman" w:hAnsi="Times New Roman"/>
          <w:sz w:val="24"/>
        </w:rPr>
        <w:t>un coinvolgimento di tutti gli attori coinvolti nei due processi: dalla contabilità al controllo digestione</w:t>
      </w:r>
      <w:r w:rsidR="00AD0FFB">
        <w:rPr>
          <w:rFonts w:ascii="Times New Roman" w:hAnsi="Times New Roman"/>
          <w:sz w:val="24"/>
        </w:rPr>
        <w:t xml:space="preserve"> </w:t>
      </w:r>
      <w:r w:rsidRPr="006C5DF3">
        <w:rPr>
          <w:rFonts w:ascii="Times New Roman" w:hAnsi="Times New Roman"/>
          <w:sz w:val="24"/>
        </w:rPr>
        <w:t>ed alle singole strutture dell’Agenzia.</w:t>
      </w:r>
    </w:p>
    <w:p w:rsidR="007117D1" w:rsidRPr="00E63330" w:rsidRDefault="007117D1" w:rsidP="007A16F8">
      <w:pPr>
        <w:autoSpaceDE w:val="0"/>
        <w:autoSpaceDN w:val="0"/>
        <w:adjustRightInd w:val="0"/>
        <w:spacing w:after="0"/>
        <w:rPr>
          <w:rFonts w:ascii="Times New Roman" w:hAnsi="Times New Roman"/>
          <w:sz w:val="14"/>
        </w:rPr>
      </w:pPr>
    </w:p>
    <w:p w:rsidR="00D759FC" w:rsidRPr="00E63330" w:rsidRDefault="0096592E" w:rsidP="007A16F8">
      <w:pPr>
        <w:autoSpaceDE w:val="0"/>
        <w:autoSpaceDN w:val="0"/>
        <w:adjustRightInd w:val="0"/>
        <w:spacing w:after="120"/>
        <w:rPr>
          <w:rFonts w:ascii="Times New Roman" w:hAnsi="Times New Roman"/>
          <w:sz w:val="24"/>
        </w:rPr>
      </w:pPr>
      <w:r w:rsidRPr="006C5DF3">
        <w:rPr>
          <w:rFonts w:ascii="Times New Roman" w:hAnsi="Times New Roman"/>
          <w:sz w:val="24"/>
        </w:rPr>
        <w:t>A tale fine, il bilancio di previsione dell’Agenzia è principalmente orientato a:</w:t>
      </w:r>
    </w:p>
    <w:p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Migliorare le proced</w:t>
      </w:r>
      <w:r w:rsidRPr="00602596">
        <w:rPr>
          <w:rFonts w:ascii="Times New Roman" w:hAnsi="Times New Roman"/>
          <w:sz w:val="24"/>
        </w:rPr>
        <w:t>ure di autorizzazione e di controllo delle pratiche relative al Fondo FEAGA e FEASR;</w:t>
      </w:r>
    </w:p>
    <w:p w:rsidR="007A16F8"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Implementare le idonee procedure di controllo finalizzate alla verifica del rispetto della normativa di settore;</w:t>
      </w:r>
    </w:p>
    <w:p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lastRenderedPageBreak/>
        <w:t>Mantenere ovvero incrementare gli standard di sicurezza de</w:t>
      </w:r>
      <w:r w:rsidRPr="00602596">
        <w:rPr>
          <w:rFonts w:ascii="Times New Roman" w:hAnsi="Times New Roman"/>
          <w:sz w:val="24"/>
        </w:rPr>
        <w:t>l Sistema Informativo e migliorare l’efficienza tecnologica, anche attraverso la digitalizzazione e l’archiviazione dei documenti cartacei;</w:t>
      </w:r>
    </w:p>
    <w:p w:rsidR="007117D1" w:rsidRPr="00E63330" w:rsidRDefault="0096592E" w:rsidP="002A60AA">
      <w:pPr>
        <w:numPr>
          <w:ilvl w:val="0"/>
          <w:numId w:val="1"/>
        </w:numPr>
        <w:autoSpaceDE w:val="0"/>
        <w:autoSpaceDN w:val="0"/>
        <w:adjustRightInd w:val="0"/>
        <w:spacing w:after="120"/>
        <w:ind w:left="714" w:hanging="357"/>
        <w:jc w:val="both"/>
        <w:rPr>
          <w:rFonts w:ascii="Times New Roman" w:hAnsi="Times New Roman"/>
          <w:bCs/>
          <w:sz w:val="24"/>
          <w:szCs w:val="24"/>
        </w:rPr>
      </w:pPr>
      <w:r>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istituzionali operanti nel settore.</w:t>
      </w:r>
    </w:p>
    <w:p w:rsidR="007117D1" w:rsidRPr="00E63330" w:rsidRDefault="007117D1" w:rsidP="007117D1">
      <w:pPr>
        <w:autoSpaceDE w:val="0"/>
        <w:autoSpaceDN w:val="0"/>
        <w:adjustRightInd w:val="0"/>
        <w:spacing w:after="120"/>
        <w:ind w:left="720"/>
        <w:jc w:val="both"/>
        <w:rPr>
          <w:rFonts w:ascii="Times New Roman" w:hAnsi="Times New Roman"/>
          <w:sz w:val="24"/>
        </w:rPr>
      </w:pPr>
    </w:p>
    <w:p w:rsidR="00D759FC" w:rsidRPr="00E63330" w:rsidRDefault="0096592E" w:rsidP="00312C3B">
      <w:pPr>
        <w:numPr>
          <w:ilvl w:val="0"/>
          <w:numId w:val="14"/>
        </w:numPr>
        <w:autoSpaceDE w:val="0"/>
        <w:autoSpaceDN w:val="0"/>
        <w:adjustRightInd w:val="0"/>
        <w:spacing w:after="120" w:line="240" w:lineRule="auto"/>
        <w:rPr>
          <w:rFonts w:ascii="Times New Roman" w:hAnsi="Times New Roman"/>
          <w:b/>
          <w:sz w:val="24"/>
          <w:u w:val="single"/>
        </w:rPr>
      </w:pPr>
      <w:r w:rsidRPr="003C3367">
        <w:rPr>
          <w:rFonts w:ascii="Times New Roman" w:hAnsi="Times New Roman"/>
          <w:b/>
          <w:sz w:val="24"/>
          <w:u w:val="single"/>
        </w:rPr>
        <w:t>Azioni per il miglioramento del ciclo di gestione della performance</w:t>
      </w:r>
    </w:p>
    <w:p w:rsidR="00D759FC"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Il Piano della performance verrà aggiornato e verranno individuati i correttivi necessari in un’ottica</w:t>
      </w:r>
      <w:r w:rsidR="00AD0FFB">
        <w:rPr>
          <w:rFonts w:ascii="Times New Roman" w:hAnsi="Times New Roman"/>
          <w:sz w:val="24"/>
        </w:rPr>
        <w:t xml:space="preserve"> </w:t>
      </w:r>
      <w:r w:rsidRPr="003C3367">
        <w:rPr>
          <w:rFonts w:ascii="Times New Roman" w:hAnsi="Times New Roman"/>
          <w:sz w:val="24"/>
        </w:rPr>
        <w:t>di miglioramento continuo delle prestazioni.</w:t>
      </w:r>
    </w:p>
    <w:p w:rsidR="007117D1" w:rsidRPr="00E63330" w:rsidRDefault="007117D1" w:rsidP="00E647A4">
      <w:pPr>
        <w:autoSpaceDE w:val="0"/>
        <w:autoSpaceDN w:val="0"/>
        <w:adjustRightInd w:val="0"/>
        <w:spacing w:after="0"/>
        <w:jc w:val="both"/>
        <w:rPr>
          <w:rFonts w:ascii="Times New Roman" w:hAnsi="Times New Roman"/>
          <w:sz w:val="16"/>
        </w:rPr>
      </w:pPr>
    </w:p>
    <w:p w:rsidR="00151A2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Si provvederà ad una revisione del Piano nel corso dell’esercizio, in funzione del monitoraggio</w:t>
      </w:r>
      <w:r w:rsidR="00AD0FFB">
        <w:rPr>
          <w:rFonts w:ascii="Times New Roman" w:hAnsi="Times New Roman"/>
          <w:sz w:val="24"/>
        </w:rPr>
        <w:t xml:space="preserve"> </w:t>
      </w:r>
      <w:r w:rsidRPr="003C3367">
        <w:rPr>
          <w:rFonts w:ascii="Times New Roman" w:hAnsi="Times New Roman"/>
          <w:sz w:val="24"/>
        </w:rPr>
        <w:t>periodico del raggiungimento degli obiettivi, dell’assegnazione di eventuali nuovi obiettivi e di</w:t>
      </w:r>
      <w:r w:rsidR="00AD0FFB">
        <w:rPr>
          <w:rFonts w:ascii="Times New Roman" w:hAnsi="Times New Roman"/>
          <w:sz w:val="24"/>
        </w:rPr>
        <w:t xml:space="preserve"> </w:t>
      </w:r>
      <w:r w:rsidRPr="003C3367">
        <w:rPr>
          <w:rFonts w:ascii="Times New Roman" w:hAnsi="Times New Roman"/>
          <w:sz w:val="24"/>
        </w:rPr>
        <w:t>modifiche organizzative intercorse nel corso del periodo di programmazione.</w:t>
      </w:r>
    </w:p>
    <w:p w:rsidR="00E647A4" w:rsidRPr="00E63330" w:rsidRDefault="00E647A4" w:rsidP="00E647A4">
      <w:pPr>
        <w:autoSpaceDE w:val="0"/>
        <w:autoSpaceDN w:val="0"/>
        <w:adjustRightInd w:val="0"/>
        <w:spacing w:after="0"/>
        <w:jc w:val="both"/>
        <w:rPr>
          <w:rFonts w:ascii="Times New Roman" w:hAnsi="Times New Roman"/>
          <w:sz w:val="24"/>
        </w:rPr>
      </w:pPr>
    </w:p>
    <w:p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particolare, semestralmente, in occasione della presentazione delle relazioni intermedie da parte del Direttore e dei Dirigenti, saranno valutati i risultati forniti dagli indicatori, incrociandoli con i riscontri provenienti dagli </w:t>
      </w:r>
      <w:proofErr w:type="spellStart"/>
      <w:r w:rsidRPr="003C3367">
        <w:rPr>
          <w:rFonts w:ascii="Times New Roman" w:hAnsi="Times New Roman"/>
          <w:i/>
          <w:sz w:val="24"/>
        </w:rPr>
        <w:t>Stakeholders</w:t>
      </w:r>
      <w:proofErr w:type="spellEnd"/>
      <w:r w:rsidRPr="003C3367">
        <w:rPr>
          <w:rFonts w:ascii="Times New Roman" w:hAnsi="Times New Roman"/>
          <w:sz w:val="24"/>
        </w:rPr>
        <w:t>, raccolti secondo le modalità descritte in precedenza, in merito alla percezione ed al gradimento della qualità dei servizi resi dall’ARCEA.</w:t>
      </w:r>
    </w:p>
    <w:p w:rsidR="000A4CE3" w:rsidRPr="00E63330" w:rsidRDefault="000A4CE3" w:rsidP="00E647A4">
      <w:pPr>
        <w:autoSpaceDE w:val="0"/>
        <w:autoSpaceDN w:val="0"/>
        <w:adjustRightInd w:val="0"/>
        <w:spacing w:after="0"/>
        <w:jc w:val="both"/>
        <w:rPr>
          <w:rFonts w:ascii="Times New Roman" w:hAnsi="Times New Roman"/>
          <w:sz w:val="24"/>
        </w:rPr>
      </w:pPr>
      <w:bookmarkStart w:id="123" w:name="OLE_LINK13"/>
      <w:bookmarkStart w:id="124" w:name="OLE_LINK16"/>
    </w:p>
    <w:p w:rsidR="000A4CE3" w:rsidRPr="00E63330" w:rsidRDefault="0096592E" w:rsidP="000A4CE3">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ossequio a quanto richiesto dall’OIV, è prevista la pubblicazione di un autonomo rapporto semestrale sullo stato di attuazione degli obiettivi di performance, con specifico riferimento al Piano della performance, con la duplice finalità di: </w:t>
      </w:r>
    </w:p>
    <w:p w:rsidR="000A4CE3" w:rsidRPr="00E63330" w:rsidRDefault="0096592E" w:rsidP="00942E2C">
      <w:pPr>
        <w:numPr>
          <w:ilvl w:val="0"/>
          <w:numId w:val="41"/>
        </w:num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consentire la eventuale rimodulazione degli obiettivi, in presenza di eventi oggettivi, non controllabili e imprevedibili; </w:t>
      </w:r>
    </w:p>
    <w:p w:rsidR="000A4CE3" w:rsidRPr="00E63330" w:rsidRDefault="0096592E" w:rsidP="00942E2C">
      <w:pPr>
        <w:numPr>
          <w:ilvl w:val="0"/>
          <w:numId w:val="41"/>
        </w:numPr>
        <w:autoSpaceDE w:val="0"/>
        <w:autoSpaceDN w:val="0"/>
        <w:adjustRightInd w:val="0"/>
        <w:spacing w:after="0"/>
        <w:jc w:val="both"/>
        <w:rPr>
          <w:rFonts w:ascii="Times New Roman" w:hAnsi="Times New Roman"/>
          <w:sz w:val="24"/>
        </w:rPr>
      </w:pPr>
      <w:r w:rsidRPr="003C3367">
        <w:rPr>
          <w:rFonts w:ascii="Times New Roman" w:hAnsi="Times New Roman"/>
          <w:sz w:val="24"/>
        </w:rPr>
        <w:t>fornire uno strumento di orientamento al management dell'Agenzia che potrà assumere le iniziative opportune nel caso di scostamenti significativi.</w:t>
      </w:r>
    </w:p>
    <w:bookmarkEnd w:id="123"/>
    <w:bookmarkEnd w:id="124"/>
    <w:p w:rsidR="000A4CE3" w:rsidRPr="00E63330" w:rsidRDefault="000A4CE3" w:rsidP="00E647A4">
      <w:pPr>
        <w:autoSpaceDE w:val="0"/>
        <w:autoSpaceDN w:val="0"/>
        <w:adjustRightInd w:val="0"/>
        <w:spacing w:after="0"/>
        <w:jc w:val="both"/>
        <w:rPr>
          <w:rFonts w:ascii="Times New Roman" w:hAnsi="Times New Roman"/>
          <w:sz w:val="24"/>
        </w:rPr>
      </w:pPr>
    </w:p>
    <w:p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tal modo, seguendo il processo generalmente indicato dai principali standard internazionali di </w:t>
      </w:r>
      <w:proofErr w:type="spellStart"/>
      <w:r w:rsidRPr="003C3367">
        <w:rPr>
          <w:rFonts w:ascii="Times New Roman" w:hAnsi="Times New Roman"/>
          <w:sz w:val="24"/>
        </w:rPr>
        <w:t>project</w:t>
      </w:r>
      <w:proofErr w:type="spellEnd"/>
      <w:r w:rsidRPr="003C3367">
        <w:rPr>
          <w:rFonts w:ascii="Times New Roman" w:hAnsi="Times New Roman"/>
          <w:sz w:val="24"/>
        </w:rPr>
        <w:t xml:space="preserve"> management come analisi delle “</w:t>
      </w:r>
      <w:proofErr w:type="spellStart"/>
      <w:r w:rsidRPr="003C3367">
        <w:rPr>
          <w:rFonts w:ascii="Times New Roman" w:hAnsi="Times New Roman"/>
          <w:i/>
          <w:sz w:val="24"/>
        </w:rPr>
        <w:t>Lessons</w:t>
      </w:r>
      <w:proofErr w:type="spellEnd"/>
      <w:r w:rsidRPr="003C3367">
        <w:rPr>
          <w:rFonts w:ascii="Times New Roman" w:hAnsi="Times New Roman"/>
          <w:i/>
          <w:sz w:val="24"/>
        </w:rPr>
        <w:t xml:space="preserve"> </w:t>
      </w:r>
      <w:proofErr w:type="spellStart"/>
      <w:r w:rsidRPr="003C3367">
        <w:rPr>
          <w:rFonts w:ascii="Times New Roman" w:hAnsi="Times New Roman"/>
          <w:i/>
          <w:sz w:val="24"/>
        </w:rPr>
        <w:t>Learned</w:t>
      </w:r>
      <w:proofErr w:type="spellEnd"/>
      <w:r w:rsidRPr="003C3367">
        <w:rPr>
          <w:rFonts w:ascii="Times New Roman" w:hAnsi="Times New Roman"/>
          <w:sz w:val="24"/>
        </w:rPr>
        <w:t>”, si procederà ad una verifica circa l’opportunità di calibrare e/o rivedere gli obiettivi operativi e i relativi indicatori, al fine di rendere maggiormente rispondente alle concrete esigenze della collettività l’azione complessiva dell’Agenzia.</w:t>
      </w:r>
    </w:p>
    <w:p w:rsidR="00F13AFF" w:rsidRPr="00E63330" w:rsidRDefault="00F13AFF" w:rsidP="00E647A4">
      <w:pPr>
        <w:autoSpaceDE w:val="0"/>
        <w:autoSpaceDN w:val="0"/>
        <w:adjustRightInd w:val="0"/>
        <w:spacing w:after="0"/>
        <w:jc w:val="both"/>
        <w:rPr>
          <w:rFonts w:ascii="Times New Roman" w:hAnsi="Times New Roman"/>
          <w:sz w:val="24"/>
        </w:rPr>
      </w:pPr>
    </w:p>
    <w:p w:rsidR="00D53E7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Catanzaro 31.01.2019</w:t>
      </w:r>
    </w:p>
    <w:p w:rsidR="00D53E78" w:rsidRPr="00E63330" w:rsidRDefault="00D53E78" w:rsidP="00E647A4">
      <w:pPr>
        <w:autoSpaceDE w:val="0"/>
        <w:autoSpaceDN w:val="0"/>
        <w:adjustRightInd w:val="0"/>
        <w:spacing w:after="0"/>
        <w:jc w:val="both"/>
        <w:rPr>
          <w:rFonts w:ascii="Times New Roman" w:hAnsi="Times New Roman"/>
          <w:sz w:val="24"/>
        </w:rPr>
      </w:pPr>
    </w:p>
    <w:p w:rsidR="00D53E78" w:rsidRPr="00E63330"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 xml:space="preserve">Il Commissario Straordinario </w:t>
      </w:r>
    </w:p>
    <w:p w:rsidR="00D1666A" w:rsidRPr="00E63330"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Ing. Francesco Del Castello</w:t>
      </w:r>
    </w:p>
    <w:p w:rsidR="002F0D00" w:rsidRPr="00E63330" w:rsidRDefault="002F0D00" w:rsidP="00155746">
      <w:pPr>
        <w:autoSpaceDE w:val="0"/>
        <w:autoSpaceDN w:val="0"/>
        <w:adjustRightInd w:val="0"/>
        <w:spacing w:after="0"/>
        <w:jc w:val="both"/>
        <w:rPr>
          <w:rFonts w:ascii="Times New Roman" w:hAnsi="Times New Roman"/>
          <w:sz w:val="20"/>
          <w:szCs w:val="20"/>
        </w:rPr>
      </w:pPr>
    </w:p>
    <w:sectPr w:rsidR="002F0D00" w:rsidRPr="00E63330" w:rsidSect="00155746">
      <w:footerReference w:type="default" r:id="rId23"/>
      <w:footerReference w:type="first" r:id="rId24"/>
      <w:pgSz w:w="11906" w:h="16838"/>
      <w:pgMar w:top="1134" w:right="1134" w:bottom="851" w:left="1276"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9D6" w:rsidRDefault="00DB29D6" w:rsidP="0075797F">
      <w:pPr>
        <w:spacing w:after="0" w:line="240" w:lineRule="auto"/>
      </w:pPr>
      <w:r>
        <w:separator/>
      </w:r>
    </w:p>
  </w:endnote>
  <w:endnote w:type="continuationSeparator" w:id="0">
    <w:p w:rsidR="00DB29D6" w:rsidRDefault="00DB29D6"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997" w:rsidRDefault="00E74997">
    <w:pPr>
      <w:pStyle w:val="Pidipagina"/>
      <w:jc w:val="right"/>
    </w:pPr>
    <w:r>
      <w:fldChar w:fldCharType="begin"/>
    </w:r>
    <w:r>
      <w:instrText xml:space="preserve"> PAGE   \* MERGEFORMAT </w:instrText>
    </w:r>
    <w:r>
      <w:fldChar w:fldCharType="separate"/>
    </w:r>
    <w:r w:rsidR="007F78C3">
      <w:rPr>
        <w:noProof/>
      </w:rPr>
      <w:t>3</w:t>
    </w:r>
    <w:r>
      <w:rPr>
        <w:noProof/>
      </w:rPr>
      <w:fldChar w:fldCharType="end"/>
    </w:r>
  </w:p>
  <w:p w:rsidR="00E74997" w:rsidRDefault="00E7499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997" w:rsidRPr="001755FB" w:rsidRDefault="00E74997" w:rsidP="009268E5">
    <w:pPr>
      <w:spacing w:after="0"/>
      <w:jc w:val="center"/>
      <w:rPr>
        <w:rFonts w:ascii="Arial" w:hAnsi="Arial" w:cs="Arial"/>
        <w:bCs/>
        <w:sz w:val="18"/>
        <w:szCs w:val="18"/>
        <w:lang w:val="en-US"/>
      </w:rPr>
    </w:pPr>
    <w:r>
      <w:rPr>
        <w:rFonts w:ascii="Arial" w:hAnsi="Arial" w:cs="Arial"/>
        <w:bCs/>
        <w:sz w:val="18"/>
        <w:szCs w:val="18"/>
        <w:lang w:val="en-US"/>
      </w:rPr>
      <w:t xml:space="preserve">P.IVA 02868170792 - Tel. 0961\750558 </w:t>
    </w:r>
    <w:r w:rsidRPr="008D6139">
      <w:rPr>
        <w:rFonts w:ascii="Arial" w:hAnsi="Arial" w:cs="Arial"/>
        <w:bCs/>
        <w:sz w:val="18"/>
        <w:szCs w:val="18"/>
        <w:lang w:val="en-US"/>
      </w:rPr>
      <w:t xml:space="preserve">- </w:t>
    </w:r>
    <w:r w:rsidRPr="001755FB">
      <w:rPr>
        <w:rFonts w:ascii="Arial" w:hAnsi="Arial" w:cs="Arial"/>
        <w:bCs/>
        <w:sz w:val="18"/>
        <w:szCs w:val="18"/>
        <w:lang w:val="en-US"/>
      </w:rPr>
      <w:t xml:space="preserve">Email: </w:t>
    </w:r>
    <w:r>
      <w:rPr>
        <w:rFonts w:ascii="Arial" w:hAnsi="Arial" w:cs="Arial"/>
        <w:bCs/>
        <w:sz w:val="18"/>
        <w:szCs w:val="18"/>
        <w:lang w:val="en-US"/>
      </w:rPr>
      <w:t>direttore@arcea.it</w:t>
    </w:r>
  </w:p>
  <w:p w:rsidR="00E74997" w:rsidRPr="009268E5" w:rsidRDefault="00E74997">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9D6" w:rsidRDefault="00DB29D6" w:rsidP="0075797F">
      <w:pPr>
        <w:spacing w:after="0" w:line="240" w:lineRule="auto"/>
      </w:pPr>
      <w:r>
        <w:separator/>
      </w:r>
    </w:p>
  </w:footnote>
  <w:footnote w:type="continuationSeparator" w:id="0">
    <w:p w:rsidR="00DB29D6" w:rsidRDefault="00DB29D6" w:rsidP="0075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065FCE"/>
    <w:lvl w:ilvl="0">
      <w:start w:val="1"/>
      <w:numFmt w:val="bullet"/>
      <w:lvlText w:val=""/>
      <w:lvlJc w:val="left"/>
      <w:pPr>
        <w:tabs>
          <w:tab w:val="num" w:pos="8996"/>
        </w:tabs>
        <w:ind w:left="8996" w:firstLine="0"/>
      </w:pPr>
      <w:rPr>
        <w:rFonts w:ascii="Symbol" w:hAnsi="Symbol" w:hint="default"/>
      </w:rPr>
    </w:lvl>
    <w:lvl w:ilvl="1">
      <w:start w:val="1"/>
      <w:numFmt w:val="bullet"/>
      <w:lvlText w:val=""/>
      <w:lvlJc w:val="left"/>
      <w:pPr>
        <w:tabs>
          <w:tab w:val="num" w:pos="9716"/>
        </w:tabs>
        <w:ind w:left="10076" w:hanging="360"/>
      </w:pPr>
      <w:rPr>
        <w:rFonts w:ascii="Symbol" w:hAnsi="Symbol" w:hint="default"/>
      </w:rPr>
    </w:lvl>
    <w:lvl w:ilvl="2">
      <w:start w:val="1"/>
      <w:numFmt w:val="bullet"/>
      <w:lvlText w:val="o"/>
      <w:lvlJc w:val="left"/>
      <w:pPr>
        <w:tabs>
          <w:tab w:val="num" w:pos="10436"/>
        </w:tabs>
        <w:ind w:left="10796" w:hanging="360"/>
      </w:pPr>
      <w:rPr>
        <w:rFonts w:ascii="Courier New" w:hAnsi="Courier New" w:cs="Courier New" w:hint="default"/>
      </w:rPr>
    </w:lvl>
    <w:lvl w:ilvl="3">
      <w:start w:val="1"/>
      <w:numFmt w:val="bullet"/>
      <w:lvlText w:val=""/>
      <w:lvlJc w:val="left"/>
      <w:pPr>
        <w:tabs>
          <w:tab w:val="num" w:pos="11156"/>
        </w:tabs>
        <w:ind w:left="11516" w:hanging="360"/>
      </w:pPr>
      <w:rPr>
        <w:rFonts w:ascii="Wingdings" w:hAnsi="Wingdings" w:hint="default"/>
      </w:rPr>
    </w:lvl>
    <w:lvl w:ilvl="4">
      <w:start w:val="1"/>
      <w:numFmt w:val="bullet"/>
      <w:lvlText w:val=""/>
      <w:lvlJc w:val="left"/>
      <w:pPr>
        <w:tabs>
          <w:tab w:val="num" w:pos="11876"/>
        </w:tabs>
        <w:ind w:left="12236" w:hanging="360"/>
      </w:pPr>
      <w:rPr>
        <w:rFonts w:ascii="Wingdings" w:hAnsi="Wingdings" w:hint="default"/>
      </w:rPr>
    </w:lvl>
    <w:lvl w:ilvl="5">
      <w:start w:val="1"/>
      <w:numFmt w:val="bullet"/>
      <w:lvlText w:val=""/>
      <w:lvlJc w:val="left"/>
      <w:pPr>
        <w:tabs>
          <w:tab w:val="num" w:pos="12596"/>
        </w:tabs>
        <w:ind w:left="12956" w:hanging="360"/>
      </w:pPr>
      <w:rPr>
        <w:rFonts w:ascii="Symbol" w:hAnsi="Symbol" w:hint="default"/>
      </w:rPr>
    </w:lvl>
    <w:lvl w:ilvl="6">
      <w:start w:val="1"/>
      <w:numFmt w:val="bullet"/>
      <w:lvlText w:val="o"/>
      <w:lvlJc w:val="left"/>
      <w:pPr>
        <w:tabs>
          <w:tab w:val="num" w:pos="13316"/>
        </w:tabs>
        <w:ind w:left="13676" w:hanging="360"/>
      </w:pPr>
      <w:rPr>
        <w:rFonts w:ascii="Courier New" w:hAnsi="Courier New" w:cs="Courier New" w:hint="default"/>
      </w:rPr>
    </w:lvl>
    <w:lvl w:ilvl="7">
      <w:start w:val="1"/>
      <w:numFmt w:val="bullet"/>
      <w:lvlText w:val=""/>
      <w:lvlJc w:val="left"/>
      <w:pPr>
        <w:tabs>
          <w:tab w:val="num" w:pos="14036"/>
        </w:tabs>
        <w:ind w:left="14396" w:hanging="360"/>
      </w:pPr>
      <w:rPr>
        <w:rFonts w:ascii="Wingdings" w:hAnsi="Wingdings" w:hint="default"/>
      </w:rPr>
    </w:lvl>
    <w:lvl w:ilvl="8">
      <w:start w:val="1"/>
      <w:numFmt w:val="bullet"/>
      <w:lvlText w:val=""/>
      <w:lvlJc w:val="left"/>
      <w:pPr>
        <w:tabs>
          <w:tab w:val="num" w:pos="14756"/>
        </w:tabs>
        <w:ind w:left="15116" w:hanging="360"/>
      </w:pPr>
      <w:rPr>
        <w:rFonts w:ascii="Wingdings" w:hAnsi="Wingdings" w:hint="default"/>
      </w:rPr>
    </w:lvl>
  </w:abstractNum>
  <w:abstractNum w:abstractNumId="1">
    <w:nsid w:val="000735F7"/>
    <w:multiLevelType w:val="hybridMultilevel"/>
    <w:tmpl w:val="D486D7F6"/>
    <w:lvl w:ilvl="0" w:tplc="B9A2E9FC">
      <w:start w:val="1"/>
      <w:numFmt w:val="bullet"/>
      <w:lvlText w:val=""/>
      <w:lvlJc w:val="left"/>
      <w:pPr>
        <w:ind w:left="1440" w:hanging="360"/>
      </w:pPr>
      <w:rPr>
        <w:rFonts w:ascii="Symbol" w:hAnsi="Symbol" w:hint="default"/>
        <w:sz w:val="24"/>
        <w:szCs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011B060A"/>
    <w:multiLevelType w:val="hybridMultilevel"/>
    <w:tmpl w:val="D90E8C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AC0408"/>
    <w:multiLevelType w:val="hybridMultilevel"/>
    <w:tmpl w:val="C1AEC5C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7823EC2"/>
    <w:multiLevelType w:val="hybridMultilevel"/>
    <w:tmpl w:val="8CEEF9D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nsid w:val="083B78FC"/>
    <w:multiLevelType w:val="hybridMultilevel"/>
    <w:tmpl w:val="CD76CFEC"/>
    <w:lvl w:ilvl="0" w:tplc="5C78FC62">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AE2325E"/>
    <w:multiLevelType w:val="hybridMultilevel"/>
    <w:tmpl w:val="20245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E934002"/>
    <w:multiLevelType w:val="hybridMultilevel"/>
    <w:tmpl w:val="0EA8C1AE"/>
    <w:lvl w:ilvl="0" w:tplc="3856B742">
      <w:start w:val="1"/>
      <w:numFmt w:val="lowerLetter"/>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1">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1565350"/>
    <w:multiLevelType w:val="multilevel"/>
    <w:tmpl w:val="B03684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21E2AAF"/>
    <w:multiLevelType w:val="hybridMultilevel"/>
    <w:tmpl w:val="040464B0"/>
    <w:lvl w:ilvl="0" w:tplc="08DC3A5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41E6536"/>
    <w:multiLevelType w:val="hybridMultilevel"/>
    <w:tmpl w:val="1D2CA824"/>
    <w:lvl w:ilvl="0" w:tplc="0410000B">
      <w:start w:val="1"/>
      <w:numFmt w:val="bullet"/>
      <w:lvlText w:val=""/>
      <w:lvlJc w:val="left"/>
      <w:pPr>
        <w:ind w:left="720" w:hanging="360"/>
      </w:pPr>
      <w:rPr>
        <w:rFonts w:ascii="Wingdings" w:hAnsi="Wingdings" w:hint="default"/>
      </w:rPr>
    </w:lvl>
    <w:lvl w:ilvl="1" w:tplc="B87C0E44" w:tentative="1">
      <w:start w:val="1"/>
      <w:numFmt w:val="bullet"/>
      <w:lvlText w:val=""/>
      <w:lvlJc w:val="left"/>
      <w:pPr>
        <w:tabs>
          <w:tab w:val="num" w:pos="1440"/>
        </w:tabs>
        <w:ind w:left="1440" w:hanging="360"/>
      </w:pPr>
      <w:rPr>
        <w:rFonts w:ascii="Wingdings" w:hAnsi="Wingdings" w:hint="default"/>
      </w:rPr>
    </w:lvl>
    <w:lvl w:ilvl="2" w:tplc="826AC4E6" w:tentative="1">
      <w:start w:val="1"/>
      <w:numFmt w:val="bullet"/>
      <w:lvlText w:val=""/>
      <w:lvlJc w:val="left"/>
      <w:pPr>
        <w:tabs>
          <w:tab w:val="num" w:pos="2160"/>
        </w:tabs>
        <w:ind w:left="2160" w:hanging="360"/>
      </w:pPr>
      <w:rPr>
        <w:rFonts w:ascii="Wingdings" w:hAnsi="Wingdings" w:hint="default"/>
      </w:rPr>
    </w:lvl>
    <w:lvl w:ilvl="3" w:tplc="30745EE8" w:tentative="1">
      <w:start w:val="1"/>
      <w:numFmt w:val="bullet"/>
      <w:lvlText w:val=""/>
      <w:lvlJc w:val="left"/>
      <w:pPr>
        <w:tabs>
          <w:tab w:val="num" w:pos="2880"/>
        </w:tabs>
        <w:ind w:left="2880" w:hanging="360"/>
      </w:pPr>
      <w:rPr>
        <w:rFonts w:ascii="Wingdings" w:hAnsi="Wingdings" w:hint="default"/>
      </w:rPr>
    </w:lvl>
    <w:lvl w:ilvl="4" w:tplc="82289A88" w:tentative="1">
      <w:start w:val="1"/>
      <w:numFmt w:val="bullet"/>
      <w:lvlText w:val=""/>
      <w:lvlJc w:val="left"/>
      <w:pPr>
        <w:tabs>
          <w:tab w:val="num" w:pos="3600"/>
        </w:tabs>
        <w:ind w:left="3600" w:hanging="360"/>
      </w:pPr>
      <w:rPr>
        <w:rFonts w:ascii="Wingdings" w:hAnsi="Wingdings" w:hint="default"/>
      </w:rPr>
    </w:lvl>
    <w:lvl w:ilvl="5" w:tplc="FFF06656" w:tentative="1">
      <w:start w:val="1"/>
      <w:numFmt w:val="bullet"/>
      <w:lvlText w:val=""/>
      <w:lvlJc w:val="left"/>
      <w:pPr>
        <w:tabs>
          <w:tab w:val="num" w:pos="4320"/>
        </w:tabs>
        <w:ind w:left="4320" w:hanging="360"/>
      </w:pPr>
      <w:rPr>
        <w:rFonts w:ascii="Wingdings" w:hAnsi="Wingdings" w:hint="default"/>
      </w:rPr>
    </w:lvl>
    <w:lvl w:ilvl="6" w:tplc="90C8C3D6" w:tentative="1">
      <w:start w:val="1"/>
      <w:numFmt w:val="bullet"/>
      <w:lvlText w:val=""/>
      <w:lvlJc w:val="left"/>
      <w:pPr>
        <w:tabs>
          <w:tab w:val="num" w:pos="5040"/>
        </w:tabs>
        <w:ind w:left="5040" w:hanging="360"/>
      </w:pPr>
      <w:rPr>
        <w:rFonts w:ascii="Wingdings" w:hAnsi="Wingdings" w:hint="default"/>
      </w:rPr>
    </w:lvl>
    <w:lvl w:ilvl="7" w:tplc="6D8E7404" w:tentative="1">
      <w:start w:val="1"/>
      <w:numFmt w:val="bullet"/>
      <w:lvlText w:val=""/>
      <w:lvlJc w:val="left"/>
      <w:pPr>
        <w:tabs>
          <w:tab w:val="num" w:pos="5760"/>
        </w:tabs>
        <w:ind w:left="5760" w:hanging="360"/>
      </w:pPr>
      <w:rPr>
        <w:rFonts w:ascii="Wingdings" w:hAnsi="Wingdings" w:hint="default"/>
      </w:rPr>
    </w:lvl>
    <w:lvl w:ilvl="8" w:tplc="359292A6" w:tentative="1">
      <w:start w:val="1"/>
      <w:numFmt w:val="bullet"/>
      <w:lvlText w:val=""/>
      <w:lvlJc w:val="left"/>
      <w:pPr>
        <w:tabs>
          <w:tab w:val="num" w:pos="6480"/>
        </w:tabs>
        <w:ind w:left="6480" w:hanging="360"/>
      </w:pPr>
      <w:rPr>
        <w:rFonts w:ascii="Wingdings" w:hAnsi="Wingdings" w:hint="default"/>
      </w:rPr>
    </w:lvl>
  </w:abstractNum>
  <w:abstractNum w:abstractNumId="16">
    <w:nsid w:val="14AE1698"/>
    <w:multiLevelType w:val="multilevel"/>
    <w:tmpl w:val="C7F0F3BE"/>
    <w:lvl w:ilvl="0">
      <w:start w:val="1"/>
      <w:numFmt w:val="bullet"/>
      <w:lvlText w:val=""/>
      <w:lvlJc w:val="left"/>
      <w:pPr>
        <w:tabs>
          <w:tab w:val="num" w:pos="720"/>
        </w:tabs>
        <w:ind w:left="720" w:hanging="360"/>
      </w:pPr>
      <w:rPr>
        <w:rFonts w:ascii="Symbol" w:hAnsi="Symbol" w:hint="default"/>
        <w:sz w:val="24"/>
        <w:szCs w:val="24"/>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BD5213"/>
    <w:multiLevelType w:val="multilevel"/>
    <w:tmpl w:val="66AE7946"/>
    <w:lvl w:ilvl="0">
      <w:start w:val="3"/>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507695E"/>
    <w:multiLevelType w:val="hybridMultilevel"/>
    <w:tmpl w:val="173807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9">
    <w:nsid w:val="170976F2"/>
    <w:multiLevelType w:val="hybridMultilevel"/>
    <w:tmpl w:val="CB24BD1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79448B4"/>
    <w:multiLevelType w:val="hybridMultilevel"/>
    <w:tmpl w:val="E070A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AB41894"/>
    <w:multiLevelType w:val="hybridMultilevel"/>
    <w:tmpl w:val="1AFCB81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06A2DE0"/>
    <w:multiLevelType w:val="hybridMultilevel"/>
    <w:tmpl w:val="4BA202C4"/>
    <w:lvl w:ilvl="0" w:tplc="267A67F0">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nsid w:val="20B167FE"/>
    <w:multiLevelType w:val="hybridMultilevel"/>
    <w:tmpl w:val="6E82F1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218C218D"/>
    <w:multiLevelType w:val="hybridMultilevel"/>
    <w:tmpl w:val="920ECC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27D43E5"/>
    <w:multiLevelType w:val="hybridMultilevel"/>
    <w:tmpl w:val="D3AE540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26DC0B34"/>
    <w:multiLevelType w:val="hybridMultilevel"/>
    <w:tmpl w:val="0BEEF6F2"/>
    <w:lvl w:ilvl="0" w:tplc="8738EAEC">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28">
    <w:nsid w:val="288E0535"/>
    <w:multiLevelType w:val="hybridMultilevel"/>
    <w:tmpl w:val="E2043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31">
    <w:nsid w:val="2DE0342F"/>
    <w:multiLevelType w:val="hybridMultilevel"/>
    <w:tmpl w:val="E5A20AF2"/>
    <w:lvl w:ilvl="0" w:tplc="74124F12">
      <w:start w:val="1"/>
      <w:numFmt w:val="bullet"/>
      <w:lvlText w:val=""/>
      <w:lvlJc w:val="left"/>
      <w:pPr>
        <w:tabs>
          <w:tab w:val="num" w:pos="720"/>
        </w:tabs>
        <w:ind w:left="720" w:hanging="360"/>
      </w:pPr>
      <w:rPr>
        <w:rFonts w:ascii="Wingdings" w:hAnsi="Wingdings" w:hint="default"/>
      </w:rPr>
    </w:lvl>
    <w:lvl w:ilvl="1" w:tplc="35067C32">
      <w:start w:val="99"/>
      <w:numFmt w:val="bullet"/>
      <w:lvlText w:val="-"/>
      <w:lvlJc w:val="left"/>
      <w:pPr>
        <w:ind w:left="1440" w:hanging="360"/>
      </w:pPr>
      <w:rPr>
        <w:rFonts w:ascii="Times New Roman" w:eastAsia="Times New Roman" w:hAnsi="Times New Roman" w:cs="Times New Roman" w:hint="default"/>
      </w:rPr>
    </w:lvl>
    <w:lvl w:ilvl="2" w:tplc="B1AEF920">
      <w:start w:val="1"/>
      <w:numFmt w:val="bullet"/>
      <w:lvlText w:val=""/>
      <w:lvlJc w:val="left"/>
      <w:pPr>
        <w:tabs>
          <w:tab w:val="num" w:pos="2160"/>
        </w:tabs>
        <w:ind w:left="2160" w:hanging="360"/>
      </w:pPr>
      <w:rPr>
        <w:rFonts w:ascii="Wingdings" w:hAnsi="Wingdings" w:hint="default"/>
      </w:rPr>
    </w:lvl>
    <w:lvl w:ilvl="3" w:tplc="299A605A">
      <w:start w:val="1"/>
      <w:numFmt w:val="bullet"/>
      <w:lvlText w:val=""/>
      <w:lvlJc w:val="left"/>
      <w:pPr>
        <w:tabs>
          <w:tab w:val="num" w:pos="2880"/>
        </w:tabs>
        <w:ind w:left="2880" w:hanging="360"/>
      </w:pPr>
      <w:rPr>
        <w:rFonts w:ascii="Symbol" w:hAnsi="Symbol" w:hint="default"/>
        <w:sz w:val="24"/>
        <w:szCs w:val="24"/>
      </w:rPr>
    </w:lvl>
    <w:lvl w:ilvl="4" w:tplc="EE528922" w:tentative="1">
      <w:start w:val="1"/>
      <w:numFmt w:val="bullet"/>
      <w:lvlText w:val=""/>
      <w:lvlJc w:val="left"/>
      <w:pPr>
        <w:tabs>
          <w:tab w:val="num" w:pos="3600"/>
        </w:tabs>
        <w:ind w:left="3600" w:hanging="360"/>
      </w:pPr>
      <w:rPr>
        <w:rFonts w:ascii="Wingdings" w:hAnsi="Wingdings" w:hint="default"/>
      </w:rPr>
    </w:lvl>
    <w:lvl w:ilvl="5" w:tplc="81702CBE" w:tentative="1">
      <w:start w:val="1"/>
      <w:numFmt w:val="bullet"/>
      <w:lvlText w:val=""/>
      <w:lvlJc w:val="left"/>
      <w:pPr>
        <w:tabs>
          <w:tab w:val="num" w:pos="4320"/>
        </w:tabs>
        <w:ind w:left="4320" w:hanging="360"/>
      </w:pPr>
      <w:rPr>
        <w:rFonts w:ascii="Wingdings" w:hAnsi="Wingdings" w:hint="default"/>
      </w:rPr>
    </w:lvl>
    <w:lvl w:ilvl="6" w:tplc="CFEC0B9E" w:tentative="1">
      <w:start w:val="1"/>
      <w:numFmt w:val="bullet"/>
      <w:lvlText w:val=""/>
      <w:lvlJc w:val="left"/>
      <w:pPr>
        <w:tabs>
          <w:tab w:val="num" w:pos="5040"/>
        </w:tabs>
        <w:ind w:left="5040" w:hanging="360"/>
      </w:pPr>
      <w:rPr>
        <w:rFonts w:ascii="Wingdings" w:hAnsi="Wingdings" w:hint="default"/>
      </w:rPr>
    </w:lvl>
    <w:lvl w:ilvl="7" w:tplc="12A6C624" w:tentative="1">
      <w:start w:val="1"/>
      <w:numFmt w:val="bullet"/>
      <w:lvlText w:val=""/>
      <w:lvlJc w:val="left"/>
      <w:pPr>
        <w:tabs>
          <w:tab w:val="num" w:pos="5760"/>
        </w:tabs>
        <w:ind w:left="5760" w:hanging="360"/>
      </w:pPr>
      <w:rPr>
        <w:rFonts w:ascii="Wingdings" w:hAnsi="Wingdings" w:hint="default"/>
      </w:rPr>
    </w:lvl>
    <w:lvl w:ilvl="8" w:tplc="E59AE2B6" w:tentative="1">
      <w:start w:val="1"/>
      <w:numFmt w:val="bullet"/>
      <w:lvlText w:val=""/>
      <w:lvlJc w:val="left"/>
      <w:pPr>
        <w:tabs>
          <w:tab w:val="num" w:pos="6480"/>
        </w:tabs>
        <w:ind w:left="6480" w:hanging="360"/>
      </w:pPr>
      <w:rPr>
        <w:rFonts w:ascii="Wingdings" w:hAnsi="Wingdings" w:hint="default"/>
      </w:rPr>
    </w:lvl>
  </w:abstractNum>
  <w:abstractNum w:abstractNumId="32">
    <w:nsid w:val="2DF41D2D"/>
    <w:multiLevelType w:val="hybridMultilevel"/>
    <w:tmpl w:val="54968C2E"/>
    <w:lvl w:ilvl="0" w:tplc="04100017">
      <w:start w:val="1"/>
      <w:numFmt w:val="lowerLetter"/>
      <w:lvlText w:val="%1)"/>
      <w:lvlJc w:val="left"/>
      <w:pPr>
        <w:ind w:left="1429" w:hanging="360"/>
      </w:pPr>
    </w:lvl>
    <w:lvl w:ilvl="1" w:tplc="9D9E3002">
      <w:start w:val="1"/>
      <w:numFmt w:val="bullet"/>
      <w:lvlText w:val="•"/>
      <w:lvlJc w:val="left"/>
      <w:pPr>
        <w:ind w:left="2359" w:hanging="570"/>
      </w:pPr>
      <w:rPr>
        <w:rFonts w:ascii="Times New Roman" w:eastAsia="Times New Roman" w:hAnsi="Times New Roman" w:cs="Times New Roman" w:hint="default"/>
      </w:rPr>
    </w:lvl>
    <w:lvl w:ilvl="2" w:tplc="4EEE830E">
      <w:start w:val="1"/>
      <w:numFmt w:val="decimal"/>
      <w:lvlText w:val="%3."/>
      <w:lvlJc w:val="left"/>
      <w:pPr>
        <w:ind w:left="3049" w:hanging="360"/>
      </w:pPr>
      <w:rPr>
        <w:rFonts w:hint="default"/>
      </w:r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33">
    <w:nsid w:val="304466E4"/>
    <w:multiLevelType w:val="hybridMultilevel"/>
    <w:tmpl w:val="E67835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30666F1F"/>
    <w:multiLevelType w:val="hybridMultilevel"/>
    <w:tmpl w:val="ABE4D6B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5">
    <w:nsid w:val="31332F62"/>
    <w:multiLevelType w:val="hybridMultilevel"/>
    <w:tmpl w:val="F0882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31443C90"/>
    <w:multiLevelType w:val="hybridMultilevel"/>
    <w:tmpl w:val="54603E2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7">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E894417"/>
    <w:multiLevelType w:val="hybridMultilevel"/>
    <w:tmpl w:val="FE468BC8"/>
    <w:lvl w:ilvl="0" w:tplc="04100001">
      <w:start w:val="1"/>
      <w:numFmt w:val="bullet"/>
      <w:lvlText w:val=""/>
      <w:lvlJc w:val="left"/>
      <w:pPr>
        <w:tabs>
          <w:tab w:val="num" w:pos="720"/>
        </w:tabs>
        <w:ind w:left="720" w:hanging="360"/>
      </w:pPr>
      <w:rPr>
        <w:rFonts w:ascii="Symbol" w:hAnsi="Symbol" w:hint="default"/>
      </w:rPr>
    </w:lvl>
    <w:lvl w:ilvl="1" w:tplc="02049568">
      <w:start w:val="2274"/>
      <w:numFmt w:val="bullet"/>
      <w:lvlText w:val="-"/>
      <w:lvlJc w:val="left"/>
      <w:pPr>
        <w:tabs>
          <w:tab w:val="num" w:pos="1440"/>
        </w:tabs>
        <w:ind w:left="1440" w:hanging="360"/>
      </w:pPr>
      <w:rPr>
        <w:rFonts w:ascii="Times New Roman" w:hAnsi="Times New Roman" w:hint="default"/>
      </w:rPr>
    </w:lvl>
    <w:lvl w:ilvl="2" w:tplc="1D5CC6D8" w:tentative="1">
      <w:start w:val="1"/>
      <w:numFmt w:val="bullet"/>
      <w:lvlText w:val=""/>
      <w:lvlJc w:val="left"/>
      <w:pPr>
        <w:tabs>
          <w:tab w:val="num" w:pos="2160"/>
        </w:tabs>
        <w:ind w:left="2160" w:hanging="360"/>
      </w:pPr>
      <w:rPr>
        <w:rFonts w:ascii="Wingdings" w:hAnsi="Wingdings" w:hint="default"/>
      </w:rPr>
    </w:lvl>
    <w:lvl w:ilvl="3" w:tplc="DEFC1432" w:tentative="1">
      <w:start w:val="1"/>
      <w:numFmt w:val="bullet"/>
      <w:lvlText w:val=""/>
      <w:lvlJc w:val="left"/>
      <w:pPr>
        <w:tabs>
          <w:tab w:val="num" w:pos="2880"/>
        </w:tabs>
        <w:ind w:left="2880" w:hanging="360"/>
      </w:pPr>
      <w:rPr>
        <w:rFonts w:ascii="Wingdings" w:hAnsi="Wingdings" w:hint="default"/>
      </w:rPr>
    </w:lvl>
    <w:lvl w:ilvl="4" w:tplc="4A28333C" w:tentative="1">
      <w:start w:val="1"/>
      <w:numFmt w:val="bullet"/>
      <w:lvlText w:val=""/>
      <w:lvlJc w:val="left"/>
      <w:pPr>
        <w:tabs>
          <w:tab w:val="num" w:pos="3600"/>
        </w:tabs>
        <w:ind w:left="3600" w:hanging="360"/>
      </w:pPr>
      <w:rPr>
        <w:rFonts w:ascii="Wingdings" w:hAnsi="Wingdings" w:hint="default"/>
      </w:rPr>
    </w:lvl>
    <w:lvl w:ilvl="5" w:tplc="E7E28DA8" w:tentative="1">
      <w:start w:val="1"/>
      <w:numFmt w:val="bullet"/>
      <w:lvlText w:val=""/>
      <w:lvlJc w:val="left"/>
      <w:pPr>
        <w:tabs>
          <w:tab w:val="num" w:pos="4320"/>
        </w:tabs>
        <w:ind w:left="4320" w:hanging="360"/>
      </w:pPr>
      <w:rPr>
        <w:rFonts w:ascii="Wingdings" w:hAnsi="Wingdings" w:hint="default"/>
      </w:rPr>
    </w:lvl>
    <w:lvl w:ilvl="6" w:tplc="05CA6474" w:tentative="1">
      <w:start w:val="1"/>
      <w:numFmt w:val="bullet"/>
      <w:lvlText w:val=""/>
      <w:lvlJc w:val="left"/>
      <w:pPr>
        <w:tabs>
          <w:tab w:val="num" w:pos="5040"/>
        </w:tabs>
        <w:ind w:left="5040" w:hanging="360"/>
      </w:pPr>
      <w:rPr>
        <w:rFonts w:ascii="Wingdings" w:hAnsi="Wingdings" w:hint="default"/>
      </w:rPr>
    </w:lvl>
    <w:lvl w:ilvl="7" w:tplc="22F0B970" w:tentative="1">
      <w:start w:val="1"/>
      <w:numFmt w:val="bullet"/>
      <w:lvlText w:val=""/>
      <w:lvlJc w:val="left"/>
      <w:pPr>
        <w:tabs>
          <w:tab w:val="num" w:pos="5760"/>
        </w:tabs>
        <w:ind w:left="5760" w:hanging="360"/>
      </w:pPr>
      <w:rPr>
        <w:rFonts w:ascii="Wingdings" w:hAnsi="Wingdings" w:hint="default"/>
      </w:rPr>
    </w:lvl>
    <w:lvl w:ilvl="8" w:tplc="B0EE4DE6" w:tentative="1">
      <w:start w:val="1"/>
      <w:numFmt w:val="bullet"/>
      <w:lvlText w:val=""/>
      <w:lvlJc w:val="left"/>
      <w:pPr>
        <w:tabs>
          <w:tab w:val="num" w:pos="6480"/>
        </w:tabs>
        <w:ind w:left="6480" w:hanging="360"/>
      </w:pPr>
      <w:rPr>
        <w:rFonts w:ascii="Wingdings" w:hAnsi="Wingdings" w:hint="default"/>
      </w:rPr>
    </w:lvl>
  </w:abstractNum>
  <w:abstractNum w:abstractNumId="40">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nsid w:val="401B1650"/>
    <w:multiLevelType w:val="hybridMultilevel"/>
    <w:tmpl w:val="4EB4E82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nsid w:val="40497FBD"/>
    <w:multiLevelType w:val="hybridMultilevel"/>
    <w:tmpl w:val="8D5EC0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41EF2D84"/>
    <w:multiLevelType w:val="hybridMultilevel"/>
    <w:tmpl w:val="DC5E999C"/>
    <w:lvl w:ilvl="0" w:tplc="04100001">
      <w:start w:val="1"/>
      <w:numFmt w:val="bullet"/>
      <w:lvlText w:val=""/>
      <w:lvlJc w:val="left"/>
      <w:pPr>
        <w:tabs>
          <w:tab w:val="num" w:pos="720"/>
        </w:tabs>
        <w:ind w:left="720" w:hanging="360"/>
      </w:pPr>
      <w:rPr>
        <w:rFonts w:ascii="Symbol" w:hAnsi="Symbol" w:hint="default"/>
      </w:rPr>
    </w:lvl>
    <w:lvl w:ilvl="1" w:tplc="68E448B2" w:tentative="1">
      <w:start w:val="1"/>
      <w:numFmt w:val="bullet"/>
      <w:lvlText w:val=""/>
      <w:lvlJc w:val="left"/>
      <w:pPr>
        <w:tabs>
          <w:tab w:val="num" w:pos="1440"/>
        </w:tabs>
        <w:ind w:left="1440" w:hanging="360"/>
      </w:pPr>
      <w:rPr>
        <w:rFonts w:ascii="Wingdings" w:hAnsi="Wingdings" w:hint="default"/>
      </w:rPr>
    </w:lvl>
    <w:lvl w:ilvl="2" w:tplc="35AA473A" w:tentative="1">
      <w:start w:val="1"/>
      <w:numFmt w:val="bullet"/>
      <w:lvlText w:val=""/>
      <w:lvlJc w:val="left"/>
      <w:pPr>
        <w:tabs>
          <w:tab w:val="num" w:pos="2160"/>
        </w:tabs>
        <w:ind w:left="2160" w:hanging="360"/>
      </w:pPr>
      <w:rPr>
        <w:rFonts w:ascii="Wingdings" w:hAnsi="Wingdings" w:hint="default"/>
      </w:rPr>
    </w:lvl>
    <w:lvl w:ilvl="3" w:tplc="EA2417F6" w:tentative="1">
      <w:start w:val="1"/>
      <w:numFmt w:val="bullet"/>
      <w:lvlText w:val=""/>
      <w:lvlJc w:val="left"/>
      <w:pPr>
        <w:tabs>
          <w:tab w:val="num" w:pos="2880"/>
        </w:tabs>
        <w:ind w:left="2880" w:hanging="360"/>
      </w:pPr>
      <w:rPr>
        <w:rFonts w:ascii="Wingdings" w:hAnsi="Wingdings" w:hint="default"/>
      </w:rPr>
    </w:lvl>
    <w:lvl w:ilvl="4" w:tplc="C09468C8" w:tentative="1">
      <w:start w:val="1"/>
      <w:numFmt w:val="bullet"/>
      <w:lvlText w:val=""/>
      <w:lvlJc w:val="left"/>
      <w:pPr>
        <w:tabs>
          <w:tab w:val="num" w:pos="3600"/>
        </w:tabs>
        <w:ind w:left="3600" w:hanging="360"/>
      </w:pPr>
      <w:rPr>
        <w:rFonts w:ascii="Wingdings" w:hAnsi="Wingdings" w:hint="default"/>
      </w:rPr>
    </w:lvl>
    <w:lvl w:ilvl="5" w:tplc="381AAE18" w:tentative="1">
      <w:start w:val="1"/>
      <w:numFmt w:val="bullet"/>
      <w:lvlText w:val=""/>
      <w:lvlJc w:val="left"/>
      <w:pPr>
        <w:tabs>
          <w:tab w:val="num" w:pos="4320"/>
        </w:tabs>
        <w:ind w:left="4320" w:hanging="360"/>
      </w:pPr>
      <w:rPr>
        <w:rFonts w:ascii="Wingdings" w:hAnsi="Wingdings" w:hint="default"/>
      </w:rPr>
    </w:lvl>
    <w:lvl w:ilvl="6" w:tplc="43CC6906" w:tentative="1">
      <w:start w:val="1"/>
      <w:numFmt w:val="bullet"/>
      <w:lvlText w:val=""/>
      <w:lvlJc w:val="left"/>
      <w:pPr>
        <w:tabs>
          <w:tab w:val="num" w:pos="5040"/>
        </w:tabs>
        <w:ind w:left="5040" w:hanging="360"/>
      </w:pPr>
      <w:rPr>
        <w:rFonts w:ascii="Wingdings" w:hAnsi="Wingdings" w:hint="default"/>
      </w:rPr>
    </w:lvl>
    <w:lvl w:ilvl="7" w:tplc="9DA68F1E" w:tentative="1">
      <w:start w:val="1"/>
      <w:numFmt w:val="bullet"/>
      <w:lvlText w:val=""/>
      <w:lvlJc w:val="left"/>
      <w:pPr>
        <w:tabs>
          <w:tab w:val="num" w:pos="5760"/>
        </w:tabs>
        <w:ind w:left="5760" w:hanging="360"/>
      </w:pPr>
      <w:rPr>
        <w:rFonts w:ascii="Wingdings" w:hAnsi="Wingdings" w:hint="default"/>
      </w:rPr>
    </w:lvl>
    <w:lvl w:ilvl="8" w:tplc="ED965C88" w:tentative="1">
      <w:start w:val="1"/>
      <w:numFmt w:val="bullet"/>
      <w:lvlText w:val=""/>
      <w:lvlJc w:val="left"/>
      <w:pPr>
        <w:tabs>
          <w:tab w:val="num" w:pos="6480"/>
        </w:tabs>
        <w:ind w:left="6480" w:hanging="360"/>
      </w:pPr>
      <w:rPr>
        <w:rFonts w:ascii="Wingdings" w:hAnsi="Wingdings" w:hint="default"/>
      </w:rPr>
    </w:lvl>
  </w:abstractNum>
  <w:abstractNum w:abstractNumId="44">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500540B"/>
    <w:multiLevelType w:val="hybridMultilevel"/>
    <w:tmpl w:val="CD7EE9C2"/>
    <w:lvl w:ilvl="0" w:tplc="51601FF2">
      <w:start w:val="2"/>
      <w:numFmt w:val="decimal"/>
      <w:lvlText w:val="%1."/>
      <w:lvlJc w:val="left"/>
      <w:pPr>
        <w:ind w:left="720" w:hanging="360"/>
      </w:pPr>
      <w:rPr>
        <w:rFonts w:hint="default"/>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45730E7F"/>
    <w:multiLevelType w:val="hybridMultilevel"/>
    <w:tmpl w:val="986E23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4AC05CBE"/>
    <w:multiLevelType w:val="hybridMultilevel"/>
    <w:tmpl w:val="75689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4E9A2E75"/>
    <w:multiLevelType w:val="hybridMultilevel"/>
    <w:tmpl w:val="EAB233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4F9A1538"/>
    <w:multiLevelType w:val="hybridMultilevel"/>
    <w:tmpl w:val="9CF62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52042EAF"/>
    <w:multiLevelType w:val="multilevel"/>
    <w:tmpl w:val="66AE7946"/>
    <w:lvl w:ilvl="0">
      <w:start w:val="3"/>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5294339C"/>
    <w:multiLevelType w:val="hybridMultilevel"/>
    <w:tmpl w:val="6686B034"/>
    <w:lvl w:ilvl="0" w:tplc="2A6E0BB4">
      <w:start w:val="1"/>
      <w:numFmt w:val="bullet"/>
      <w:lvlText w:val="-"/>
      <w:lvlJc w:val="left"/>
      <w:pPr>
        <w:tabs>
          <w:tab w:val="num" w:pos="720"/>
        </w:tabs>
        <w:ind w:left="720" w:hanging="360"/>
      </w:pPr>
      <w:rPr>
        <w:rFonts w:ascii="Times New Roman" w:hAnsi="Times New Roman" w:hint="default"/>
        <w:b/>
        <w:u w:val="singl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2BB19B8"/>
    <w:multiLevelType w:val="hybridMultilevel"/>
    <w:tmpl w:val="E08E2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54EA69D0"/>
    <w:multiLevelType w:val="hybridMultilevel"/>
    <w:tmpl w:val="571AF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58CD00C4"/>
    <w:multiLevelType w:val="hybridMultilevel"/>
    <w:tmpl w:val="4EF8F700"/>
    <w:lvl w:ilvl="0" w:tplc="24B0E080">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56">
    <w:nsid w:val="59FB432A"/>
    <w:multiLevelType w:val="hybridMultilevel"/>
    <w:tmpl w:val="C816B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5CDA5970"/>
    <w:multiLevelType w:val="hybridMultilevel"/>
    <w:tmpl w:val="DA8813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5F481D86"/>
    <w:multiLevelType w:val="hybridMultilevel"/>
    <w:tmpl w:val="A50097B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9">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873E2B"/>
    <w:multiLevelType w:val="hybridMultilevel"/>
    <w:tmpl w:val="C4AC8E56"/>
    <w:lvl w:ilvl="0" w:tplc="04100001">
      <w:start w:val="1"/>
      <w:numFmt w:val="bullet"/>
      <w:lvlText w:val=""/>
      <w:lvlJc w:val="left"/>
      <w:pPr>
        <w:tabs>
          <w:tab w:val="num" w:pos="1014"/>
        </w:tabs>
        <w:ind w:left="1014" w:hanging="360"/>
      </w:pPr>
      <w:rPr>
        <w:rFonts w:ascii="Symbol" w:hAnsi="Symbol" w:hint="default"/>
      </w:rPr>
    </w:lvl>
    <w:lvl w:ilvl="1" w:tplc="04100005">
      <w:start w:val="1"/>
      <w:numFmt w:val="bullet"/>
      <w:lvlText w:val=""/>
      <w:lvlJc w:val="left"/>
      <w:pPr>
        <w:tabs>
          <w:tab w:val="num" w:pos="1734"/>
        </w:tabs>
        <w:ind w:left="1734" w:hanging="360"/>
      </w:pPr>
      <w:rPr>
        <w:rFonts w:ascii="Wingdings" w:hAnsi="Wingdings" w:hint="default"/>
      </w:rPr>
    </w:lvl>
    <w:lvl w:ilvl="2" w:tplc="5608E352">
      <w:start w:val="1"/>
      <w:numFmt w:val="decimal"/>
      <w:lvlText w:val="%3."/>
      <w:lvlJc w:val="left"/>
      <w:pPr>
        <w:tabs>
          <w:tab w:val="num" w:pos="2160"/>
        </w:tabs>
        <w:ind w:left="2160" w:hanging="360"/>
      </w:pPr>
      <w:rPr>
        <w:rFont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1">
    <w:nsid w:val="62A21E61"/>
    <w:multiLevelType w:val="hybridMultilevel"/>
    <w:tmpl w:val="53DA6D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63FB6F17"/>
    <w:multiLevelType w:val="hybridMultilevel"/>
    <w:tmpl w:val="4A4A58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647A5D3E"/>
    <w:multiLevelType w:val="hybridMultilevel"/>
    <w:tmpl w:val="9DDEDA9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651D6807"/>
    <w:multiLevelType w:val="multilevel"/>
    <w:tmpl w:val="1AB885DE"/>
    <w:lvl w:ilvl="0">
      <w:start w:val="1"/>
      <w:numFmt w:val="decimal"/>
      <w:lvlText w:val="%1."/>
      <w:lvlJc w:val="left"/>
      <w:pPr>
        <w:ind w:left="1080" w:hanging="360"/>
      </w:pPr>
      <w:rPr>
        <w:rFonts w:hint="default"/>
        <w:sz w:val="24"/>
        <w:szCs w:val="24"/>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nsid w:val="6586000A"/>
    <w:multiLevelType w:val="hybridMultilevel"/>
    <w:tmpl w:val="5C3CBD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65B7743D"/>
    <w:multiLevelType w:val="hybridMultilevel"/>
    <w:tmpl w:val="2F80C6EA"/>
    <w:lvl w:ilvl="0" w:tplc="FFFFFFFF">
      <w:start w:val="1"/>
      <w:numFmt w:val="bullet"/>
      <w:lvlText w:val=""/>
      <w:lvlJc w:val="left"/>
      <w:pPr>
        <w:ind w:left="1778" w:hanging="360"/>
      </w:pPr>
      <w:rPr>
        <w:rFonts w:ascii="Symbol" w:hAnsi="Symbol" w:hint="default"/>
      </w:rPr>
    </w:lvl>
    <w:lvl w:ilvl="1" w:tplc="04100001">
      <w:start w:val="1"/>
      <w:numFmt w:val="bullet"/>
      <w:lvlText w:val=""/>
      <w:lvlJc w:val="left"/>
      <w:pPr>
        <w:ind w:left="2498" w:hanging="360"/>
      </w:pPr>
      <w:rPr>
        <w:rFonts w:ascii="Symbol" w:hAnsi="Symbol" w:hint="default"/>
        <w:b/>
        <w:sz w:val="24"/>
        <w:szCs w:val="24"/>
      </w:rPr>
    </w:lvl>
    <w:lvl w:ilvl="2" w:tplc="04100005">
      <w:start w:val="1"/>
      <w:numFmt w:val="bullet"/>
      <w:lvlText w:val=""/>
      <w:lvlJc w:val="left"/>
      <w:pPr>
        <w:ind w:left="3218" w:hanging="360"/>
      </w:pPr>
      <w:rPr>
        <w:rFonts w:ascii="Wingdings" w:hAnsi="Wingdings" w:hint="default"/>
      </w:rPr>
    </w:lvl>
    <w:lvl w:ilvl="3" w:tplc="0410000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67">
    <w:nsid w:val="672C449C"/>
    <w:multiLevelType w:val="hybridMultilevel"/>
    <w:tmpl w:val="DED87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68445650"/>
    <w:multiLevelType w:val="hybridMultilevel"/>
    <w:tmpl w:val="2708B4C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69">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8F4169F"/>
    <w:multiLevelType w:val="multilevel"/>
    <w:tmpl w:val="C38AF9CE"/>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
    <w:nsid w:val="6D7B4DA8"/>
    <w:multiLevelType w:val="hybridMultilevel"/>
    <w:tmpl w:val="C53C2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713006DC"/>
    <w:multiLevelType w:val="hybridMultilevel"/>
    <w:tmpl w:val="979A639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74407A61"/>
    <w:multiLevelType w:val="hybridMultilevel"/>
    <w:tmpl w:val="55E48AE8"/>
    <w:lvl w:ilvl="0" w:tplc="8738EAEC">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75614B4D"/>
    <w:multiLevelType w:val="hybridMultilevel"/>
    <w:tmpl w:val="1F5421F8"/>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6">
    <w:nsid w:val="75D719C8"/>
    <w:multiLevelType w:val="hybridMultilevel"/>
    <w:tmpl w:val="9ECC665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7">
    <w:nsid w:val="78732886"/>
    <w:multiLevelType w:val="hybridMultilevel"/>
    <w:tmpl w:val="9EBC2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7A0F6AC4"/>
    <w:multiLevelType w:val="hybridMultilevel"/>
    <w:tmpl w:val="615C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7BBF2E89"/>
    <w:multiLevelType w:val="hybridMultilevel"/>
    <w:tmpl w:val="116C9844"/>
    <w:lvl w:ilvl="0" w:tplc="04100001">
      <w:start w:val="1"/>
      <w:numFmt w:val="bullet"/>
      <w:lvlText w:val=""/>
      <w:lvlJc w:val="left"/>
      <w:pPr>
        <w:tabs>
          <w:tab w:val="num" w:pos="720"/>
        </w:tabs>
        <w:ind w:left="720" w:hanging="360"/>
      </w:pPr>
      <w:rPr>
        <w:rFonts w:ascii="Symbol" w:hAnsi="Symbol" w:hint="default"/>
      </w:rPr>
    </w:lvl>
    <w:lvl w:ilvl="1" w:tplc="E7BE26F4" w:tentative="1">
      <w:start w:val="1"/>
      <w:numFmt w:val="bullet"/>
      <w:lvlText w:val="•"/>
      <w:lvlJc w:val="left"/>
      <w:pPr>
        <w:tabs>
          <w:tab w:val="num" w:pos="1440"/>
        </w:tabs>
        <w:ind w:left="1440" w:hanging="360"/>
      </w:pPr>
      <w:rPr>
        <w:rFonts w:ascii="Arial" w:hAnsi="Arial" w:hint="default"/>
      </w:rPr>
    </w:lvl>
    <w:lvl w:ilvl="2" w:tplc="BBC8794E" w:tentative="1">
      <w:start w:val="1"/>
      <w:numFmt w:val="bullet"/>
      <w:lvlText w:val="•"/>
      <w:lvlJc w:val="left"/>
      <w:pPr>
        <w:tabs>
          <w:tab w:val="num" w:pos="2160"/>
        </w:tabs>
        <w:ind w:left="2160" w:hanging="360"/>
      </w:pPr>
      <w:rPr>
        <w:rFonts w:ascii="Arial" w:hAnsi="Arial" w:hint="default"/>
      </w:rPr>
    </w:lvl>
    <w:lvl w:ilvl="3" w:tplc="022A80AC" w:tentative="1">
      <w:start w:val="1"/>
      <w:numFmt w:val="bullet"/>
      <w:lvlText w:val="•"/>
      <w:lvlJc w:val="left"/>
      <w:pPr>
        <w:tabs>
          <w:tab w:val="num" w:pos="2880"/>
        </w:tabs>
        <w:ind w:left="2880" w:hanging="360"/>
      </w:pPr>
      <w:rPr>
        <w:rFonts w:ascii="Arial" w:hAnsi="Arial" w:hint="default"/>
      </w:rPr>
    </w:lvl>
    <w:lvl w:ilvl="4" w:tplc="B98E192A" w:tentative="1">
      <w:start w:val="1"/>
      <w:numFmt w:val="bullet"/>
      <w:lvlText w:val="•"/>
      <w:lvlJc w:val="left"/>
      <w:pPr>
        <w:tabs>
          <w:tab w:val="num" w:pos="3600"/>
        </w:tabs>
        <w:ind w:left="3600" w:hanging="360"/>
      </w:pPr>
      <w:rPr>
        <w:rFonts w:ascii="Arial" w:hAnsi="Arial" w:hint="default"/>
      </w:rPr>
    </w:lvl>
    <w:lvl w:ilvl="5" w:tplc="DE141E06" w:tentative="1">
      <w:start w:val="1"/>
      <w:numFmt w:val="bullet"/>
      <w:lvlText w:val="•"/>
      <w:lvlJc w:val="left"/>
      <w:pPr>
        <w:tabs>
          <w:tab w:val="num" w:pos="4320"/>
        </w:tabs>
        <w:ind w:left="4320" w:hanging="360"/>
      </w:pPr>
      <w:rPr>
        <w:rFonts w:ascii="Arial" w:hAnsi="Arial" w:hint="default"/>
      </w:rPr>
    </w:lvl>
    <w:lvl w:ilvl="6" w:tplc="439876FC" w:tentative="1">
      <w:start w:val="1"/>
      <w:numFmt w:val="bullet"/>
      <w:lvlText w:val="•"/>
      <w:lvlJc w:val="left"/>
      <w:pPr>
        <w:tabs>
          <w:tab w:val="num" w:pos="5040"/>
        </w:tabs>
        <w:ind w:left="5040" w:hanging="360"/>
      </w:pPr>
      <w:rPr>
        <w:rFonts w:ascii="Arial" w:hAnsi="Arial" w:hint="default"/>
      </w:rPr>
    </w:lvl>
    <w:lvl w:ilvl="7" w:tplc="FEF0C8A6" w:tentative="1">
      <w:start w:val="1"/>
      <w:numFmt w:val="bullet"/>
      <w:lvlText w:val="•"/>
      <w:lvlJc w:val="left"/>
      <w:pPr>
        <w:tabs>
          <w:tab w:val="num" w:pos="5760"/>
        </w:tabs>
        <w:ind w:left="5760" w:hanging="360"/>
      </w:pPr>
      <w:rPr>
        <w:rFonts w:ascii="Arial" w:hAnsi="Arial" w:hint="default"/>
      </w:rPr>
    </w:lvl>
    <w:lvl w:ilvl="8" w:tplc="2ABE0A2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9"/>
  </w:num>
  <w:num w:numId="3">
    <w:abstractNumId w:val="59"/>
  </w:num>
  <w:num w:numId="4">
    <w:abstractNumId w:val="12"/>
  </w:num>
  <w:num w:numId="5">
    <w:abstractNumId w:val="38"/>
  </w:num>
  <w:num w:numId="6">
    <w:abstractNumId w:val="27"/>
  </w:num>
  <w:num w:numId="7">
    <w:abstractNumId w:val="6"/>
  </w:num>
  <w:num w:numId="8">
    <w:abstractNumId w:val="30"/>
  </w:num>
  <w:num w:numId="9">
    <w:abstractNumId w:val="52"/>
  </w:num>
  <w:num w:numId="10">
    <w:abstractNumId w:val="50"/>
  </w:num>
  <w:num w:numId="11">
    <w:abstractNumId w:val="29"/>
  </w:num>
  <w:num w:numId="12">
    <w:abstractNumId w:val="62"/>
  </w:num>
  <w:num w:numId="13">
    <w:abstractNumId w:val="40"/>
  </w:num>
  <w:num w:numId="14">
    <w:abstractNumId w:val="44"/>
  </w:num>
  <w:num w:numId="15">
    <w:abstractNumId w:val="11"/>
  </w:num>
  <w:num w:numId="16">
    <w:abstractNumId w:val="3"/>
  </w:num>
  <w:num w:numId="17">
    <w:abstractNumId w:val="10"/>
  </w:num>
  <w:num w:numId="18">
    <w:abstractNumId w:val="9"/>
  </w:num>
  <w:num w:numId="19">
    <w:abstractNumId w:val="31"/>
  </w:num>
  <w:num w:numId="20">
    <w:abstractNumId w:val="16"/>
  </w:num>
  <w:num w:numId="21">
    <w:abstractNumId w:val="60"/>
  </w:num>
  <w:num w:numId="22">
    <w:abstractNumId w:val="68"/>
  </w:num>
  <w:num w:numId="23">
    <w:abstractNumId w:val="1"/>
  </w:num>
  <w:num w:numId="24">
    <w:abstractNumId w:val="22"/>
  </w:num>
  <w:num w:numId="25">
    <w:abstractNumId w:val="48"/>
  </w:num>
  <w:num w:numId="26">
    <w:abstractNumId w:val="67"/>
  </w:num>
  <w:num w:numId="27">
    <w:abstractNumId w:val="14"/>
  </w:num>
  <w:num w:numId="28">
    <w:abstractNumId w:val="43"/>
  </w:num>
  <w:num w:numId="29">
    <w:abstractNumId w:val="79"/>
  </w:num>
  <w:num w:numId="30">
    <w:abstractNumId w:val="39"/>
  </w:num>
  <w:num w:numId="31">
    <w:abstractNumId w:val="51"/>
  </w:num>
  <w:num w:numId="32">
    <w:abstractNumId w:val="70"/>
  </w:num>
  <w:num w:numId="33">
    <w:abstractNumId w:val="55"/>
  </w:num>
  <w:num w:numId="34">
    <w:abstractNumId w:val="28"/>
  </w:num>
  <w:num w:numId="35">
    <w:abstractNumId w:val="8"/>
  </w:num>
  <w:num w:numId="36">
    <w:abstractNumId w:val="70"/>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32"/>
  </w:num>
  <w:num w:numId="40">
    <w:abstractNumId w:val="66"/>
  </w:num>
  <w:num w:numId="41">
    <w:abstractNumId w:val="71"/>
  </w:num>
  <w:num w:numId="42">
    <w:abstractNumId w:val="19"/>
  </w:num>
  <w:num w:numId="43">
    <w:abstractNumId w:val="15"/>
  </w:num>
  <w:num w:numId="44">
    <w:abstractNumId w:val="2"/>
  </w:num>
  <w:num w:numId="45">
    <w:abstractNumId w:val="33"/>
  </w:num>
  <w:num w:numId="46">
    <w:abstractNumId w:val="21"/>
  </w:num>
  <w:num w:numId="47">
    <w:abstractNumId w:val="63"/>
  </w:num>
  <w:num w:numId="48">
    <w:abstractNumId w:val="4"/>
  </w:num>
  <w:num w:numId="49">
    <w:abstractNumId w:val="25"/>
  </w:num>
  <w:num w:numId="50">
    <w:abstractNumId w:val="49"/>
  </w:num>
  <w:num w:numId="51">
    <w:abstractNumId w:val="17"/>
  </w:num>
  <w:num w:numId="52">
    <w:abstractNumId w:val="57"/>
  </w:num>
  <w:num w:numId="53">
    <w:abstractNumId w:val="26"/>
  </w:num>
  <w:num w:numId="54">
    <w:abstractNumId w:val="73"/>
  </w:num>
  <w:num w:numId="55">
    <w:abstractNumId w:val="13"/>
  </w:num>
  <w:num w:numId="56">
    <w:abstractNumId w:val="0"/>
  </w:num>
  <w:num w:numId="57">
    <w:abstractNumId w:val="56"/>
  </w:num>
  <w:num w:numId="58">
    <w:abstractNumId w:val="46"/>
  </w:num>
  <w:num w:numId="59">
    <w:abstractNumId w:val="61"/>
  </w:num>
  <w:num w:numId="60">
    <w:abstractNumId w:val="65"/>
  </w:num>
  <w:num w:numId="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num>
  <w:num w:numId="64">
    <w:abstractNumId w:val="41"/>
  </w:num>
  <w:num w:numId="65">
    <w:abstractNumId w:val="54"/>
  </w:num>
  <w:num w:numId="66">
    <w:abstractNumId w:val="45"/>
  </w:num>
  <w:num w:numId="67">
    <w:abstractNumId w:val="74"/>
  </w:num>
  <w:num w:numId="68">
    <w:abstractNumId w:val="53"/>
  </w:num>
  <w:num w:numId="69">
    <w:abstractNumId w:val="47"/>
  </w:num>
  <w:num w:numId="70">
    <w:abstractNumId w:val="37"/>
  </w:num>
  <w:num w:numId="71">
    <w:abstractNumId w:val="72"/>
  </w:num>
  <w:num w:numId="72">
    <w:abstractNumId w:val="34"/>
  </w:num>
  <w:num w:numId="73">
    <w:abstractNumId w:val="76"/>
  </w:num>
  <w:num w:numId="74">
    <w:abstractNumId w:val="35"/>
  </w:num>
  <w:num w:numId="75">
    <w:abstractNumId w:val="24"/>
  </w:num>
  <w:num w:numId="76">
    <w:abstractNumId w:val="42"/>
  </w:num>
  <w:num w:numId="77">
    <w:abstractNumId w:val="7"/>
  </w:num>
  <w:num w:numId="78">
    <w:abstractNumId w:val="36"/>
  </w:num>
  <w:num w:numId="79">
    <w:abstractNumId w:val="58"/>
  </w:num>
  <w:num w:numId="80">
    <w:abstractNumId w:val="20"/>
  </w:num>
  <w:num w:numId="81">
    <w:abstractNumId w:val="18"/>
  </w:num>
  <w:num w:numId="82">
    <w:abstractNumId w:val="23"/>
  </w:num>
  <w:num w:numId="83">
    <w:abstractNumId w:val="78"/>
  </w:num>
  <w:num w:numId="84">
    <w:abstractNumId w:val="7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defaultTabStop w:val="709"/>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FB"/>
    <w:rsid w:val="00000E9F"/>
    <w:rsid w:val="000013C1"/>
    <w:rsid w:val="00001FCE"/>
    <w:rsid w:val="00004023"/>
    <w:rsid w:val="000056A2"/>
    <w:rsid w:val="00005DDF"/>
    <w:rsid w:val="00007C52"/>
    <w:rsid w:val="00010176"/>
    <w:rsid w:val="00011A88"/>
    <w:rsid w:val="00012C3B"/>
    <w:rsid w:val="0001340A"/>
    <w:rsid w:val="000135B0"/>
    <w:rsid w:val="00014744"/>
    <w:rsid w:val="0001537A"/>
    <w:rsid w:val="000166AD"/>
    <w:rsid w:val="00021473"/>
    <w:rsid w:val="000224B0"/>
    <w:rsid w:val="00022993"/>
    <w:rsid w:val="00022CB8"/>
    <w:rsid w:val="000244BC"/>
    <w:rsid w:val="000274FF"/>
    <w:rsid w:val="00030084"/>
    <w:rsid w:val="00032723"/>
    <w:rsid w:val="00033283"/>
    <w:rsid w:val="00033714"/>
    <w:rsid w:val="000346FA"/>
    <w:rsid w:val="00034EEF"/>
    <w:rsid w:val="000363C0"/>
    <w:rsid w:val="000365FA"/>
    <w:rsid w:val="000368D1"/>
    <w:rsid w:val="0003755C"/>
    <w:rsid w:val="000419A5"/>
    <w:rsid w:val="00042617"/>
    <w:rsid w:val="00044CFD"/>
    <w:rsid w:val="00050A78"/>
    <w:rsid w:val="00050D0F"/>
    <w:rsid w:val="00052A9A"/>
    <w:rsid w:val="00055355"/>
    <w:rsid w:val="00055E4D"/>
    <w:rsid w:val="0005621C"/>
    <w:rsid w:val="00057D2E"/>
    <w:rsid w:val="00060729"/>
    <w:rsid w:val="00060E50"/>
    <w:rsid w:val="00061384"/>
    <w:rsid w:val="000617E1"/>
    <w:rsid w:val="00063256"/>
    <w:rsid w:val="0006386C"/>
    <w:rsid w:val="00063DF0"/>
    <w:rsid w:val="000642E2"/>
    <w:rsid w:val="00064F57"/>
    <w:rsid w:val="0006554A"/>
    <w:rsid w:val="00066E9C"/>
    <w:rsid w:val="00067DEC"/>
    <w:rsid w:val="00067E82"/>
    <w:rsid w:val="00070B68"/>
    <w:rsid w:val="000732C1"/>
    <w:rsid w:val="000758DE"/>
    <w:rsid w:val="00075A20"/>
    <w:rsid w:val="00075CF8"/>
    <w:rsid w:val="00076B63"/>
    <w:rsid w:val="000775F0"/>
    <w:rsid w:val="000860F1"/>
    <w:rsid w:val="00086F33"/>
    <w:rsid w:val="0008723F"/>
    <w:rsid w:val="0008732C"/>
    <w:rsid w:val="00087B19"/>
    <w:rsid w:val="00087E82"/>
    <w:rsid w:val="0009016B"/>
    <w:rsid w:val="00090212"/>
    <w:rsid w:val="0009192A"/>
    <w:rsid w:val="00091EE6"/>
    <w:rsid w:val="00092A07"/>
    <w:rsid w:val="00093DD5"/>
    <w:rsid w:val="000943A6"/>
    <w:rsid w:val="0009716D"/>
    <w:rsid w:val="00097C57"/>
    <w:rsid w:val="00097EA8"/>
    <w:rsid w:val="000A0769"/>
    <w:rsid w:val="000A3FA0"/>
    <w:rsid w:val="000A474A"/>
    <w:rsid w:val="000A4CE3"/>
    <w:rsid w:val="000A63FA"/>
    <w:rsid w:val="000B1812"/>
    <w:rsid w:val="000B2249"/>
    <w:rsid w:val="000B2970"/>
    <w:rsid w:val="000B43F4"/>
    <w:rsid w:val="000B464C"/>
    <w:rsid w:val="000B52C0"/>
    <w:rsid w:val="000B5B67"/>
    <w:rsid w:val="000B5CF1"/>
    <w:rsid w:val="000C0929"/>
    <w:rsid w:val="000C1CCA"/>
    <w:rsid w:val="000C2F86"/>
    <w:rsid w:val="000C3EDE"/>
    <w:rsid w:val="000C4A98"/>
    <w:rsid w:val="000C5BC1"/>
    <w:rsid w:val="000C6447"/>
    <w:rsid w:val="000C6B75"/>
    <w:rsid w:val="000C75DC"/>
    <w:rsid w:val="000D2B3F"/>
    <w:rsid w:val="000D33E5"/>
    <w:rsid w:val="000D47CB"/>
    <w:rsid w:val="000D500D"/>
    <w:rsid w:val="000D5123"/>
    <w:rsid w:val="000D7773"/>
    <w:rsid w:val="000E46A2"/>
    <w:rsid w:val="000E5AEF"/>
    <w:rsid w:val="000E5BF3"/>
    <w:rsid w:val="000E5F07"/>
    <w:rsid w:val="000F2AA5"/>
    <w:rsid w:val="000F3145"/>
    <w:rsid w:val="000F33E7"/>
    <w:rsid w:val="000F3D68"/>
    <w:rsid w:val="000F4A75"/>
    <w:rsid w:val="000F5A0D"/>
    <w:rsid w:val="000F6B17"/>
    <w:rsid w:val="000F6BC3"/>
    <w:rsid w:val="000F7412"/>
    <w:rsid w:val="00103CAB"/>
    <w:rsid w:val="00104786"/>
    <w:rsid w:val="00104B96"/>
    <w:rsid w:val="00110142"/>
    <w:rsid w:val="001137C1"/>
    <w:rsid w:val="00113F93"/>
    <w:rsid w:val="00115F8D"/>
    <w:rsid w:val="001165BE"/>
    <w:rsid w:val="00116E95"/>
    <w:rsid w:val="00116FB5"/>
    <w:rsid w:val="00121D80"/>
    <w:rsid w:val="00124515"/>
    <w:rsid w:val="00126061"/>
    <w:rsid w:val="00127016"/>
    <w:rsid w:val="00127A10"/>
    <w:rsid w:val="00130DFB"/>
    <w:rsid w:val="00132332"/>
    <w:rsid w:val="00132E09"/>
    <w:rsid w:val="0013534F"/>
    <w:rsid w:val="00135AB3"/>
    <w:rsid w:val="001365E3"/>
    <w:rsid w:val="00136A28"/>
    <w:rsid w:val="00136A6B"/>
    <w:rsid w:val="00137315"/>
    <w:rsid w:val="001378E6"/>
    <w:rsid w:val="00137F7E"/>
    <w:rsid w:val="00141727"/>
    <w:rsid w:val="0014209A"/>
    <w:rsid w:val="001422D0"/>
    <w:rsid w:val="001425E2"/>
    <w:rsid w:val="001434F7"/>
    <w:rsid w:val="0015130B"/>
    <w:rsid w:val="00151A28"/>
    <w:rsid w:val="00151A29"/>
    <w:rsid w:val="001536C6"/>
    <w:rsid w:val="0015457E"/>
    <w:rsid w:val="00155746"/>
    <w:rsid w:val="00155A76"/>
    <w:rsid w:val="00156498"/>
    <w:rsid w:val="001566A2"/>
    <w:rsid w:val="00157A2D"/>
    <w:rsid w:val="00163970"/>
    <w:rsid w:val="00164067"/>
    <w:rsid w:val="00165588"/>
    <w:rsid w:val="00166CC5"/>
    <w:rsid w:val="00167A6B"/>
    <w:rsid w:val="00170E01"/>
    <w:rsid w:val="00170E3B"/>
    <w:rsid w:val="00171A75"/>
    <w:rsid w:val="00172681"/>
    <w:rsid w:val="001727E6"/>
    <w:rsid w:val="001729E0"/>
    <w:rsid w:val="00172E67"/>
    <w:rsid w:val="001747F2"/>
    <w:rsid w:val="001755FB"/>
    <w:rsid w:val="00175D7D"/>
    <w:rsid w:val="001770B0"/>
    <w:rsid w:val="001776D2"/>
    <w:rsid w:val="00181FF3"/>
    <w:rsid w:val="001827F4"/>
    <w:rsid w:val="0018305A"/>
    <w:rsid w:val="00183A06"/>
    <w:rsid w:val="00183AF6"/>
    <w:rsid w:val="001854A1"/>
    <w:rsid w:val="00185BD4"/>
    <w:rsid w:val="00185BE8"/>
    <w:rsid w:val="00190D5B"/>
    <w:rsid w:val="00192D6A"/>
    <w:rsid w:val="0019354C"/>
    <w:rsid w:val="00193A7A"/>
    <w:rsid w:val="00194BA2"/>
    <w:rsid w:val="00194D8D"/>
    <w:rsid w:val="001969F6"/>
    <w:rsid w:val="00197F9E"/>
    <w:rsid w:val="001A1D77"/>
    <w:rsid w:val="001A419B"/>
    <w:rsid w:val="001A6C87"/>
    <w:rsid w:val="001A7D7A"/>
    <w:rsid w:val="001B12C4"/>
    <w:rsid w:val="001B48E4"/>
    <w:rsid w:val="001C2264"/>
    <w:rsid w:val="001C2562"/>
    <w:rsid w:val="001C2866"/>
    <w:rsid w:val="001C46AD"/>
    <w:rsid w:val="001C48B0"/>
    <w:rsid w:val="001C53CA"/>
    <w:rsid w:val="001C63B7"/>
    <w:rsid w:val="001D0193"/>
    <w:rsid w:val="001D20A8"/>
    <w:rsid w:val="001D2660"/>
    <w:rsid w:val="001D3146"/>
    <w:rsid w:val="001D3B64"/>
    <w:rsid w:val="001D4394"/>
    <w:rsid w:val="001D547C"/>
    <w:rsid w:val="001E2B83"/>
    <w:rsid w:val="001F25E9"/>
    <w:rsid w:val="001F406E"/>
    <w:rsid w:val="001F629B"/>
    <w:rsid w:val="001F74E7"/>
    <w:rsid w:val="001F7C5D"/>
    <w:rsid w:val="00200394"/>
    <w:rsid w:val="002013CA"/>
    <w:rsid w:val="0020337B"/>
    <w:rsid w:val="002033C8"/>
    <w:rsid w:val="002033E8"/>
    <w:rsid w:val="002044D3"/>
    <w:rsid w:val="00205419"/>
    <w:rsid w:val="00205B07"/>
    <w:rsid w:val="0020667D"/>
    <w:rsid w:val="00210CA9"/>
    <w:rsid w:val="00211B1A"/>
    <w:rsid w:val="00212BDC"/>
    <w:rsid w:val="0021319B"/>
    <w:rsid w:val="002138E1"/>
    <w:rsid w:val="00213FD7"/>
    <w:rsid w:val="00215217"/>
    <w:rsid w:val="00215DB3"/>
    <w:rsid w:val="0021642C"/>
    <w:rsid w:val="00216686"/>
    <w:rsid w:val="00216C8A"/>
    <w:rsid w:val="0022070A"/>
    <w:rsid w:val="00221B61"/>
    <w:rsid w:val="0022208B"/>
    <w:rsid w:val="0022259B"/>
    <w:rsid w:val="00222A5A"/>
    <w:rsid w:val="002234AA"/>
    <w:rsid w:val="0022550F"/>
    <w:rsid w:val="0022653F"/>
    <w:rsid w:val="00226692"/>
    <w:rsid w:val="002269B5"/>
    <w:rsid w:val="00226BC2"/>
    <w:rsid w:val="00230456"/>
    <w:rsid w:val="0023114D"/>
    <w:rsid w:val="0023238B"/>
    <w:rsid w:val="00232769"/>
    <w:rsid w:val="002329D5"/>
    <w:rsid w:val="002346BE"/>
    <w:rsid w:val="0023499A"/>
    <w:rsid w:val="00235A4F"/>
    <w:rsid w:val="00237722"/>
    <w:rsid w:val="0024155E"/>
    <w:rsid w:val="00242F8F"/>
    <w:rsid w:val="00243769"/>
    <w:rsid w:val="00245435"/>
    <w:rsid w:val="00247329"/>
    <w:rsid w:val="002476B3"/>
    <w:rsid w:val="00247980"/>
    <w:rsid w:val="0025018B"/>
    <w:rsid w:val="002576FA"/>
    <w:rsid w:val="002611E4"/>
    <w:rsid w:val="0026149B"/>
    <w:rsid w:val="00262538"/>
    <w:rsid w:val="002628A9"/>
    <w:rsid w:val="0026312D"/>
    <w:rsid w:val="002635D7"/>
    <w:rsid w:val="00263AD4"/>
    <w:rsid w:val="00264BB6"/>
    <w:rsid w:val="0026573B"/>
    <w:rsid w:val="002667A1"/>
    <w:rsid w:val="0027093D"/>
    <w:rsid w:val="00271A2C"/>
    <w:rsid w:val="0027226A"/>
    <w:rsid w:val="002726D6"/>
    <w:rsid w:val="00274093"/>
    <w:rsid w:val="0027445E"/>
    <w:rsid w:val="002747AA"/>
    <w:rsid w:val="00274B99"/>
    <w:rsid w:val="00274F2C"/>
    <w:rsid w:val="00274FCF"/>
    <w:rsid w:val="00275181"/>
    <w:rsid w:val="0027556C"/>
    <w:rsid w:val="00276932"/>
    <w:rsid w:val="0028134B"/>
    <w:rsid w:val="0028231E"/>
    <w:rsid w:val="00282465"/>
    <w:rsid w:val="0028440C"/>
    <w:rsid w:val="00284624"/>
    <w:rsid w:val="00287D69"/>
    <w:rsid w:val="00291E8A"/>
    <w:rsid w:val="0029271D"/>
    <w:rsid w:val="0029292C"/>
    <w:rsid w:val="00293109"/>
    <w:rsid w:val="00293E8E"/>
    <w:rsid w:val="00295C2B"/>
    <w:rsid w:val="002A1676"/>
    <w:rsid w:val="002A2853"/>
    <w:rsid w:val="002A60AA"/>
    <w:rsid w:val="002A65FD"/>
    <w:rsid w:val="002B0B37"/>
    <w:rsid w:val="002B352F"/>
    <w:rsid w:val="002B4148"/>
    <w:rsid w:val="002B4734"/>
    <w:rsid w:val="002B65FE"/>
    <w:rsid w:val="002B790F"/>
    <w:rsid w:val="002C1755"/>
    <w:rsid w:val="002C2020"/>
    <w:rsid w:val="002C3A06"/>
    <w:rsid w:val="002C69CF"/>
    <w:rsid w:val="002D0886"/>
    <w:rsid w:val="002D4D37"/>
    <w:rsid w:val="002D60A7"/>
    <w:rsid w:val="002E0E35"/>
    <w:rsid w:val="002E1007"/>
    <w:rsid w:val="002E1758"/>
    <w:rsid w:val="002E1837"/>
    <w:rsid w:val="002E19FB"/>
    <w:rsid w:val="002E23F4"/>
    <w:rsid w:val="002E2930"/>
    <w:rsid w:val="002E397B"/>
    <w:rsid w:val="002E4F38"/>
    <w:rsid w:val="002E586A"/>
    <w:rsid w:val="002E6DAE"/>
    <w:rsid w:val="002E7C70"/>
    <w:rsid w:val="002F0D00"/>
    <w:rsid w:val="002F1F38"/>
    <w:rsid w:val="002F211A"/>
    <w:rsid w:val="002F2DFE"/>
    <w:rsid w:val="002F56FC"/>
    <w:rsid w:val="002F58B2"/>
    <w:rsid w:val="002F5A97"/>
    <w:rsid w:val="002F6284"/>
    <w:rsid w:val="002F7ACA"/>
    <w:rsid w:val="0030137D"/>
    <w:rsid w:val="00304833"/>
    <w:rsid w:val="00304F79"/>
    <w:rsid w:val="00306861"/>
    <w:rsid w:val="00306BE3"/>
    <w:rsid w:val="003102BD"/>
    <w:rsid w:val="0031092E"/>
    <w:rsid w:val="00310C81"/>
    <w:rsid w:val="00311873"/>
    <w:rsid w:val="00311D40"/>
    <w:rsid w:val="00312703"/>
    <w:rsid w:val="00312ADE"/>
    <w:rsid w:val="00312C3B"/>
    <w:rsid w:val="00314F09"/>
    <w:rsid w:val="00315F95"/>
    <w:rsid w:val="003160C1"/>
    <w:rsid w:val="0032040E"/>
    <w:rsid w:val="00320571"/>
    <w:rsid w:val="00323220"/>
    <w:rsid w:val="003234AB"/>
    <w:rsid w:val="003251CB"/>
    <w:rsid w:val="00325558"/>
    <w:rsid w:val="00325D4F"/>
    <w:rsid w:val="00326722"/>
    <w:rsid w:val="00327143"/>
    <w:rsid w:val="0032732E"/>
    <w:rsid w:val="00331A02"/>
    <w:rsid w:val="00331D98"/>
    <w:rsid w:val="00333054"/>
    <w:rsid w:val="0033383B"/>
    <w:rsid w:val="0033384C"/>
    <w:rsid w:val="00335442"/>
    <w:rsid w:val="00341831"/>
    <w:rsid w:val="00343DAA"/>
    <w:rsid w:val="0034538B"/>
    <w:rsid w:val="00347351"/>
    <w:rsid w:val="00350823"/>
    <w:rsid w:val="00352579"/>
    <w:rsid w:val="00352ACF"/>
    <w:rsid w:val="00353302"/>
    <w:rsid w:val="0035622B"/>
    <w:rsid w:val="0035786F"/>
    <w:rsid w:val="00360A65"/>
    <w:rsid w:val="0036116E"/>
    <w:rsid w:val="0036337C"/>
    <w:rsid w:val="00364A8F"/>
    <w:rsid w:val="003656D6"/>
    <w:rsid w:val="00365A6B"/>
    <w:rsid w:val="00366766"/>
    <w:rsid w:val="003669E6"/>
    <w:rsid w:val="00366DEB"/>
    <w:rsid w:val="00366F15"/>
    <w:rsid w:val="00367734"/>
    <w:rsid w:val="00367BA0"/>
    <w:rsid w:val="003700A6"/>
    <w:rsid w:val="00372610"/>
    <w:rsid w:val="00373AB5"/>
    <w:rsid w:val="00373E24"/>
    <w:rsid w:val="003768E0"/>
    <w:rsid w:val="00377327"/>
    <w:rsid w:val="0038027F"/>
    <w:rsid w:val="00380C07"/>
    <w:rsid w:val="00381272"/>
    <w:rsid w:val="003816F7"/>
    <w:rsid w:val="003821A9"/>
    <w:rsid w:val="00382E31"/>
    <w:rsid w:val="003832A1"/>
    <w:rsid w:val="00384CA0"/>
    <w:rsid w:val="00384EEB"/>
    <w:rsid w:val="003853B1"/>
    <w:rsid w:val="00390AE4"/>
    <w:rsid w:val="00393ACE"/>
    <w:rsid w:val="00394B11"/>
    <w:rsid w:val="003954D8"/>
    <w:rsid w:val="003967F3"/>
    <w:rsid w:val="003A161E"/>
    <w:rsid w:val="003A1D2E"/>
    <w:rsid w:val="003A3B3B"/>
    <w:rsid w:val="003A6699"/>
    <w:rsid w:val="003B05DB"/>
    <w:rsid w:val="003B3387"/>
    <w:rsid w:val="003B4AC8"/>
    <w:rsid w:val="003B4C42"/>
    <w:rsid w:val="003B570C"/>
    <w:rsid w:val="003B5EEA"/>
    <w:rsid w:val="003B758D"/>
    <w:rsid w:val="003C03F7"/>
    <w:rsid w:val="003C17A1"/>
    <w:rsid w:val="003C2329"/>
    <w:rsid w:val="003C29E5"/>
    <w:rsid w:val="003C3367"/>
    <w:rsid w:val="003C3504"/>
    <w:rsid w:val="003C4391"/>
    <w:rsid w:val="003C481A"/>
    <w:rsid w:val="003C4A94"/>
    <w:rsid w:val="003C5D58"/>
    <w:rsid w:val="003C6598"/>
    <w:rsid w:val="003C7FE5"/>
    <w:rsid w:val="003D3477"/>
    <w:rsid w:val="003D359E"/>
    <w:rsid w:val="003D3AA9"/>
    <w:rsid w:val="003D4A1C"/>
    <w:rsid w:val="003D5F09"/>
    <w:rsid w:val="003D5F44"/>
    <w:rsid w:val="003D7C31"/>
    <w:rsid w:val="003E04AC"/>
    <w:rsid w:val="003E0895"/>
    <w:rsid w:val="003E11B3"/>
    <w:rsid w:val="003E300E"/>
    <w:rsid w:val="003E73A0"/>
    <w:rsid w:val="003F1BDF"/>
    <w:rsid w:val="003F2325"/>
    <w:rsid w:val="003F313D"/>
    <w:rsid w:val="003F4295"/>
    <w:rsid w:val="003F4A3E"/>
    <w:rsid w:val="003F4DD9"/>
    <w:rsid w:val="00402560"/>
    <w:rsid w:val="00402ABA"/>
    <w:rsid w:val="0040382D"/>
    <w:rsid w:val="00404136"/>
    <w:rsid w:val="004056F5"/>
    <w:rsid w:val="00406405"/>
    <w:rsid w:val="00407AAC"/>
    <w:rsid w:val="00407B92"/>
    <w:rsid w:val="00411332"/>
    <w:rsid w:val="004116B9"/>
    <w:rsid w:val="004117F5"/>
    <w:rsid w:val="0041180B"/>
    <w:rsid w:val="00412265"/>
    <w:rsid w:val="004134D3"/>
    <w:rsid w:val="00413619"/>
    <w:rsid w:val="00413E15"/>
    <w:rsid w:val="004151D9"/>
    <w:rsid w:val="004152A0"/>
    <w:rsid w:val="00415734"/>
    <w:rsid w:val="00417BBC"/>
    <w:rsid w:val="00421112"/>
    <w:rsid w:val="00422E6D"/>
    <w:rsid w:val="0042397B"/>
    <w:rsid w:val="00423BC4"/>
    <w:rsid w:val="00424941"/>
    <w:rsid w:val="00426152"/>
    <w:rsid w:val="00426460"/>
    <w:rsid w:val="00430516"/>
    <w:rsid w:val="00430E0D"/>
    <w:rsid w:val="00431CFD"/>
    <w:rsid w:val="00432884"/>
    <w:rsid w:val="0043309E"/>
    <w:rsid w:val="00435538"/>
    <w:rsid w:val="004357BD"/>
    <w:rsid w:val="00435C36"/>
    <w:rsid w:val="004362F1"/>
    <w:rsid w:val="00445E9D"/>
    <w:rsid w:val="00446746"/>
    <w:rsid w:val="00446BFA"/>
    <w:rsid w:val="00447187"/>
    <w:rsid w:val="004473B2"/>
    <w:rsid w:val="0045040F"/>
    <w:rsid w:val="00450AF7"/>
    <w:rsid w:val="004522E7"/>
    <w:rsid w:val="00452B6B"/>
    <w:rsid w:val="00452FDD"/>
    <w:rsid w:val="00455E47"/>
    <w:rsid w:val="00456EEA"/>
    <w:rsid w:val="00457A82"/>
    <w:rsid w:val="00460E04"/>
    <w:rsid w:val="004611B7"/>
    <w:rsid w:val="0046158B"/>
    <w:rsid w:val="00462FD1"/>
    <w:rsid w:val="004653A5"/>
    <w:rsid w:val="00470614"/>
    <w:rsid w:val="00470C61"/>
    <w:rsid w:val="00473148"/>
    <w:rsid w:val="004732A6"/>
    <w:rsid w:val="00473DAF"/>
    <w:rsid w:val="00473E5D"/>
    <w:rsid w:val="004742C9"/>
    <w:rsid w:val="004779D0"/>
    <w:rsid w:val="00481E50"/>
    <w:rsid w:val="004820B4"/>
    <w:rsid w:val="004841B3"/>
    <w:rsid w:val="00484390"/>
    <w:rsid w:val="0048449E"/>
    <w:rsid w:val="004862E8"/>
    <w:rsid w:val="0048769F"/>
    <w:rsid w:val="004937E9"/>
    <w:rsid w:val="00493880"/>
    <w:rsid w:val="004942C4"/>
    <w:rsid w:val="00495B5B"/>
    <w:rsid w:val="00495C96"/>
    <w:rsid w:val="00495E98"/>
    <w:rsid w:val="0049679B"/>
    <w:rsid w:val="004A03EC"/>
    <w:rsid w:val="004A0C8C"/>
    <w:rsid w:val="004A23D1"/>
    <w:rsid w:val="004A2B96"/>
    <w:rsid w:val="004A2C85"/>
    <w:rsid w:val="004A2DFC"/>
    <w:rsid w:val="004A48FD"/>
    <w:rsid w:val="004A538D"/>
    <w:rsid w:val="004A6B07"/>
    <w:rsid w:val="004A7A04"/>
    <w:rsid w:val="004A7EDB"/>
    <w:rsid w:val="004A7FEB"/>
    <w:rsid w:val="004B083D"/>
    <w:rsid w:val="004B092E"/>
    <w:rsid w:val="004B557F"/>
    <w:rsid w:val="004B7A0E"/>
    <w:rsid w:val="004C072C"/>
    <w:rsid w:val="004C08B0"/>
    <w:rsid w:val="004C16DB"/>
    <w:rsid w:val="004C1B6B"/>
    <w:rsid w:val="004C2953"/>
    <w:rsid w:val="004C3626"/>
    <w:rsid w:val="004C3C25"/>
    <w:rsid w:val="004C4579"/>
    <w:rsid w:val="004C4A74"/>
    <w:rsid w:val="004C5BC6"/>
    <w:rsid w:val="004C5CA9"/>
    <w:rsid w:val="004C62B6"/>
    <w:rsid w:val="004D0C17"/>
    <w:rsid w:val="004D0DA4"/>
    <w:rsid w:val="004D28A4"/>
    <w:rsid w:val="004D4828"/>
    <w:rsid w:val="004D67C1"/>
    <w:rsid w:val="004D6A61"/>
    <w:rsid w:val="004E0A8B"/>
    <w:rsid w:val="004E136F"/>
    <w:rsid w:val="004E2982"/>
    <w:rsid w:val="004E2CE0"/>
    <w:rsid w:val="004E43D8"/>
    <w:rsid w:val="004E44D1"/>
    <w:rsid w:val="004E6B25"/>
    <w:rsid w:val="004F0432"/>
    <w:rsid w:val="004F07D3"/>
    <w:rsid w:val="004F10A2"/>
    <w:rsid w:val="004F142D"/>
    <w:rsid w:val="004F1B80"/>
    <w:rsid w:val="004F2A83"/>
    <w:rsid w:val="004F41B8"/>
    <w:rsid w:val="004F5129"/>
    <w:rsid w:val="004F548A"/>
    <w:rsid w:val="004F5B81"/>
    <w:rsid w:val="004F6E9B"/>
    <w:rsid w:val="004F7E6A"/>
    <w:rsid w:val="005011D4"/>
    <w:rsid w:val="005029B9"/>
    <w:rsid w:val="00505E02"/>
    <w:rsid w:val="0050645E"/>
    <w:rsid w:val="00512FBD"/>
    <w:rsid w:val="005141F9"/>
    <w:rsid w:val="0052004D"/>
    <w:rsid w:val="005245DD"/>
    <w:rsid w:val="00530126"/>
    <w:rsid w:val="005306C6"/>
    <w:rsid w:val="0053093F"/>
    <w:rsid w:val="00531819"/>
    <w:rsid w:val="00531D19"/>
    <w:rsid w:val="0053382D"/>
    <w:rsid w:val="00533AF7"/>
    <w:rsid w:val="0053404D"/>
    <w:rsid w:val="00534C4F"/>
    <w:rsid w:val="00534CCA"/>
    <w:rsid w:val="00535AFA"/>
    <w:rsid w:val="00536603"/>
    <w:rsid w:val="0053746F"/>
    <w:rsid w:val="005376B1"/>
    <w:rsid w:val="00540665"/>
    <w:rsid w:val="00541EEE"/>
    <w:rsid w:val="00542489"/>
    <w:rsid w:val="005430EE"/>
    <w:rsid w:val="00545769"/>
    <w:rsid w:val="005458C7"/>
    <w:rsid w:val="00547971"/>
    <w:rsid w:val="005532C8"/>
    <w:rsid w:val="00553D0A"/>
    <w:rsid w:val="00553F64"/>
    <w:rsid w:val="00554270"/>
    <w:rsid w:val="00556674"/>
    <w:rsid w:val="00557B66"/>
    <w:rsid w:val="00560701"/>
    <w:rsid w:val="00560799"/>
    <w:rsid w:val="00560815"/>
    <w:rsid w:val="00561B6E"/>
    <w:rsid w:val="00564C0C"/>
    <w:rsid w:val="00565448"/>
    <w:rsid w:val="00566D52"/>
    <w:rsid w:val="00567B7C"/>
    <w:rsid w:val="00571B72"/>
    <w:rsid w:val="005725D9"/>
    <w:rsid w:val="00577085"/>
    <w:rsid w:val="00577385"/>
    <w:rsid w:val="005810D5"/>
    <w:rsid w:val="00581F9E"/>
    <w:rsid w:val="005824D8"/>
    <w:rsid w:val="00582A16"/>
    <w:rsid w:val="005834E4"/>
    <w:rsid w:val="00584C9D"/>
    <w:rsid w:val="005852A6"/>
    <w:rsid w:val="00585498"/>
    <w:rsid w:val="00585781"/>
    <w:rsid w:val="00586FC5"/>
    <w:rsid w:val="00587355"/>
    <w:rsid w:val="00590892"/>
    <w:rsid w:val="00590BFC"/>
    <w:rsid w:val="0059145B"/>
    <w:rsid w:val="00591ADD"/>
    <w:rsid w:val="0059213A"/>
    <w:rsid w:val="00592227"/>
    <w:rsid w:val="0059329C"/>
    <w:rsid w:val="00594FB8"/>
    <w:rsid w:val="005962EC"/>
    <w:rsid w:val="00596452"/>
    <w:rsid w:val="005972AF"/>
    <w:rsid w:val="0059734F"/>
    <w:rsid w:val="00597D3E"/>
    <w:rsid w:val="005A0020"/>
    <w:rsid w:val="005A048E"/>
    <w:rsid w:val="005A09A9"/>
    <w:rsid w:val="005A5FE9"/>
    <w:rsid w:val="005A7F3E"/>
    <w:rsid w:val="005B011C"/>
    <w:rsid w:val="005B0BF6"/>
    <w:rsid w:val="005B2908"/>
    <w:rsid w:val="005B4ABF"/>
    <w:rsid w:val="005B4B14"/>
    <w:rsid w:val="005B673E"/>
    <w:rsid w:val="005C017D"/>
    <w:rsid w:val="005C0B53"/>
    <w:rsid w:val="005C1031"/>
    <w:rsid w:val="005C147B"/>
    <w:rsid w:val="005C5668"/>
    <w:rsid w:val="005C5C1A"/>
    <w:rsid w:val="005C6784"/>
    <w:rsid w:val="005C7C2C"/>
    <w:rsid w:val="005C7ECC"/>
    <w:rsid w:val="005D0157"/>
    <w:rsid w:val="005D044C"/>
    <w:rsid w:val="005D0DD1"/>
    <w:rsid w:val="005D1BFD"/>
    <w:rsid w:val="005D26AE"/>
    <w:rsid w:val="005D2B92"/>
    <w:rsid w:val="005D3551"/>
    <w:rsid w:val="005D3DDB"/>
    <w:rsid w:val="005D4205"/>
    <w:rsid w:val="005D4255"/>
    <w:rsid w:val="005D475D"/>
    <w:rsid w:val="005D58E2"/>
    <w:rsid w:val="005D6B4A"/>
    <w:rsid w:val="005D7ABA"/>
    <w:rsid w:val="005E3042"/>
    <w:rsid w:val="005E3E4C"/>
    <w:rsid w:val="005E4B04"/>
    <w:rsid w:val="005E520F"/>
    <w:rsid w:val="005E5C5A"/>
    <w:rsid w:val="005E7A71"/>
    <w:rsid w:val="005F022B"/>
    <w:rsid w:val="005F17CE"/>
    <w:rsid w:val="005F2613"/>
    <w:rsid w:val="005F429C"/>
    <w:rsid w:val="005F7B83"/>
    <w:rsid w:val="005F7D48"/>
    <w:rsid w:val="00600E32"/>
    <w:rsid w:val="00602596"/>
    <w:rsid w:val="006065B0"/>
    <w:rsid w:val="006077E5"/>
    <w:rsid w:val="00610D2B"/>
    <w:rsid w:val="0061324E"/>
    <w:rsid w:val="00614D25"/>
    <w:rsid w:val="006151A4"/>
    <w:rsid w:val="006167FD"/>
    <w:rsid w:val="00616F9A"/>
    <w:rsid w:val="006170E7"/>
    <w:rsid w:val="006220FA"/>
    <w:rsid w:val="00623642"/>
    <w:rsid w:val="00624150"/>
    <w:rsid w:val="006338BC"/>
    <w:rsid w:val="00634819"/>
    <w:rsid w:val="006356F6"/>
    <w:rsid w:val="00635941"/>
    <w:rsid w:val="00635C5D"/>
    <w:rsid w:val="006361A1"/>
    <w:rsid w:val="006362A5"/>
    <w:rsid w:val="0063763D"/>
    <w:rsid w:val="0064027A"/>
    <w:rsid w:val="0064044D"/>
    <w:rsid w:val="0064168A"/>
    <w:rsid w:val="00642AEF"/>
    <w:rsid w:val="0064314B"/>
    <w:rsid w:val="006434DE"/>
    <w:rsid w:val="0064398B"/>
    <w:rsid w:val="00643F32"/>
    <w:rsid w:val="00644FB7"/>
    <w:rsid w:val="0065003A"/>
    <w:rsid w:val="0065665A"/>
    <w:rsid w:val="0065731A"/>
    <w:rsid w:val="0066057E"/>
    <w:rsid w:val="0066210F"/>
    <w:rsid w:val="00664C69"/>
    <w:rsid w:val="006651C5"/>
    <w:rsid w:val="00665391"/>
    <w:rsid w:val="00665C75"/>
    <w:rsid w:val="006665F8"/>
    <w:rsid w:val="00666B5C"/>
    <w:rsid w:val="0066764C"/>
    <w:rsid w:val="006701D6"/>
    <w:rsid w:val="006722DF"/>
    <w:rsid w:val="006741EA"/>
    <w:rsid w:val="00676119"/>
    <w:rsid w:val="00676CEE"/>
    <w:rsid w:val="0068208D"/>
    <w:rsid w:val="00682DF7"/>
    <w:rsid w:val="006835EC"/>
    <w:rsid w:val="00684236"/>
    <w:rsid w:val="00684EB3"/>
    <w:rsid w:val="00690A55"/>
    <w:rsid w:val="00691D7E"/>
    <w:rsid w:val="00693B8E"/>
    <w:rsid w:val="006945D8"/>
    <w:rsid w:val="00694C2B"/>
    <w:rsid w:val="006954A5"/>
    <w:rsid w:val="00695DD5"/>
    <w:rsid w:val="00696850"/>
    <w:rsid w:val="00697655"/>
    <w:rsid w:val="00697CEF"/>
    <w:rsid w:val="006A118F"/>
    <w:rsid w:val="006A1962"/>
    <w:rsid w:val="006A1C4E"/>
    <w:rsid w:val="006A2930"/>
    <w:rsid w:val="006A2B59"/>
    <w:rsid w:val="006A4116"/>
    <w:rsid w:val="006A41D3"/>
    <w:rsid w:val="006A4F19"/>
    <w:rsid w:val="006A557D"/>
    <w:rsid w:val="006A7D24"/>
    <w:rsid w:val="006B01E2"/>
    <w:rsid w:val="006B13CE"/>
    <w:rsid w:val="006B3694"/>
    <w:rsid w:val="006B3BBD"/>
    <w:rsid w:val="006B48A2"/>
    <w:rsid w:val="006B52D2"/>
    <w:rsid w:val="006B52FE"/>
    <w:rsid w:val="006B57A0"/>
    <w:rsid w:val="006B7BD1"/>
    <w:rsid w:val="006C1759"/>
    <w:rsid w:val="006C2538"/>
    <w:rsid w:val="006C489E"/>
    <w:rsid w:val="006C546B"/>
    <w:rsid w:val="006C5DDF"/>
    <w:rsid w:val="006C5DF3"/>
    <w:rsid w:val="006D17DB"/>
    <w:rsid w:val="006D29C3"/>
    <w:rsid w:val="006D419D"/>
    <w:rsid w:val="006D4537"/>
    <w:rsid w:val="006D6121"/>
    <w:rsid w:val="006D6E11"/>
    <w:rsid w:val="006D6FFA"/>
    <w:rsid w:val="006E04DF"/>
    <w:rsid w:val="006E2C74"/>
    <w:rsid w:val="006E63AD"/>
    <w:rsid w:val="006E6C19"/>
    <w:rsid w:val="006E6FF9"/>
    <w:rsid w:val="006F0EBE"/>
    <w:rsid w:val="006F1BD3"/>
    <w:rsid w:val="006F1E93"/>
    <w:rsid w:val="006F24FE"/>
    <w:rsid w:val="006F4F07"/>
    <w:rsid w:val="006F6185"/>
    <w:rsid w:val="006F7F19"/>
    <w:rsid w:val="00700AF7"/>
    <w:rsid w:val="0070139F"/>
    <w:rsid w:val="007027A6"/>
    <w:rsid w:val="00702E78"/>
    <w:rsid w:val="00703106"/>
    <w:rsid w:val="007034FE"/>
    <w:rsid w:val="007051C3"/>
    <w:rsid w:val="007053B8"/>
    <w:rsid w:val="007053C5"/>
    <w:rsid w:val="007071D6"/>
    <w:rsid w:val="00707746"/>
    <w:rsid w:val="007117D1"/>
    <w:rsid w:val="00711C07"/>
    <w:rsid w:val="00712E45"/>
    <w:rsid w:val="0071552C"/>
    <w:rsid w:val="00717C83"/>
    <w:rsid w:val="00717D35"/>
    <w:rsid w:val="00717F80"/>
    <w:rsid w:val="007246AE"/>
    <w:rsid w:val="007251DE"/>
    <w:rsid w:val="00726034"/>
    <w:rsid w:val="00727DDC"/>
    <w:rsid w:val="00730169"/>
    <w:rsid w:val="00732421"/>
    <w:rsid w:val="007333C3"/>
    <w:rsid w:val="00735C00"/>
    <w:rsid w:val="00736F6E"/>
    <w:rsid w:val="007375FA"/>
    <w:rsid w:val="007377F8"/>
    <w:rsid w:val="00737F6A"/>
    <w:rsid w:val="00737F86"/>
    <w:rsid w:val="007403F4"/>
    <w:rsid w:val="0074098B"/>
    <w:rsid w:val="00742A72"/>
    <w:rsid w:val="00744598"/>
    <w:rsid w:val="0074533F"/>
    <w:rsid w:val="0074722F"/>
    <w:rsid w:val="00747350"/>
    <w:rsid w:val="0074787F"/>
    <w:rsid w:val="00750868"/>
    <w:rsid w:val="00750944"/>
    <w:rsid w:val="00751FD7"/>
    <w:rsid w:val="00751FE2"/>
    <w:rsid w:val="0075212D"/>
    <w:rsid w:val="007527A0"/>
    <w:rsid w:val="00752B16"/>
    <w:rsid w:val="00754493"/>
    <w:rsid w:val="00754EE2"/>
    <w:rsid w:val="00756E24"/>
    <w:rsid w:val="0075797F"/>
    <w:rsid w:val="00760546"/>
    <w:rsid w:val="00760B44"/>
    <w:rsid w:val="00762B5D"/>
    <w:rsid w:val="007632B8"/>
    <w:rsid w:val="00764D22"/>
    <w:rsid w:val="00770AD6"/>
    <w:rsid w:val="0077124C"/>
    <w:rsid w:val="00771CB3"/>
    <w:rsid w:val="0077354F"/>
    <w:rsid w:val="0077359A"/>
    <w:rsid w:val="00775D30"/>
    <w:rsid w:val="007823D2"/>
    <w:rsid w:val="007845B2"/>
    <w:rsid w:val="007869CE"/>
    <w:rsid w:val="00787B07"/>
    <w:rsid w:val="00787FB9"/>
    <w:rsid w:val="0079062F"/>
    <w:rsid w:val="00791C91"/>
    <w:rsid w:val="00793BFA"/>
    <w:rsid w:val="00794BEB"/>
    <w:rsid w:val="00794DF8"/>
    <w:rsid w:val="00795487"/>
    <w:rsid w:val="007971CF"/>
    <w:rsid w:val="007A0C80"/>
    <w:rsid w:val="007A16F8"/>
    <w:rsid w:val="007A1D85"/>
    <w:rsid w:val="007A2236"/>
    <w:rsid w:val="007A2780"/>
    <w:rsid w:val="007A4F18"/>
    <w:rsid w:val="007A6E3C"/>
    <w:rsid w:val="007B183D"/>
    <w:rsid w:val="007B55B9"/>
    <w:rsid w:val="007C1519"/>
    <w:rsid w:val="007C3278"/>
    <w:rsid w:val="007C338A"/>
    <w:rsid w:val="007C3869"/>
    <w:rsid w:val="007C3CA5"/>
    <w:rsid w:val="007C4216"/>
    <w:rsid w:val="007C422C"/>
    <w:rsid w:val="007C4AEC"/>
    <w:rsid w:val="007C509D"/>
    <w:rsid w:val="007C6A78"/>
    <w:rsid w:val="007C6DFD"/>
    <w:rsid w:val="007D1F91"/>
    <w:rsid w:val="007D24D1"/>
    <w:rsid w:val="007D4700"/>
    <w:rsid w:val="007D596D"/>
    <w:rsid w:val="007D5CDB"/>
    <w:rsid w:val="007D7FA2"/>
    <w:rsid w:val="007E0D73"/>
    <w:rsid w:val="007E3245"/>
    <w:rsid w:val="007E3383"/>
    <w:rsid w:val="007E453D"/>
    <w:rsid w:val="007E5280"/>
    <w:rsid w:val="007E6D57"/>
    <w:rsid w:val="007E772D"/>
    <w:rsid w:val="007F0001"/>
    <w:rsid w:val="007F015D"/>
    <w:rsid w:val="007F0812"/>
    <w:rsid w:val="007F214E"/>
    <w:rsid w:val="007F29AA"/>
    <w:rsid w:val="007F3A4B"/>
    <w:rsid w:val="007F41AB"/>
    <w:rsid w:val="007F4D69"/>
    <w:rsid w:val="007F64D2"/>
    <w:rsid w:val="007F78C3"/>
    <w:rsid w:val="007F7B9B"/>
    <w:rsid w:val="007F7E02"/>
    <w:rsid w:val="0080079E"/>
    <w:rsid w:val="00802239"/>
    <w:rsid w:val="00803549"/>
    <w:rsid w:val="008035CD"/>
    <w:rsid w:val="00806D87"/>
    <w:rsid w:val="0080787B"/>
    <w:rsid w:val="00807B27"/>
    <w:rsid w:val="00807BB6"/>
    <w:rsid w:val="00810BDE"/>
    <w:rsid w:val="00815041"/>
    <w:rsid w:val="008165A9"/>
    <w:rsid w:val="0082029F"/>
    <w:rsid w:val="00820D28"/>
    <w:rsid w:val="008222CD"/>
    <w:rsid w:val="0082316B"/>
    <w:rsid w:val="00825797"/>
    <w:rsid w:val="00827B54"/>
    <w:rsid w:val="00827D71"/>
    <w:rsid w:val="00830391"/>
    <w:rsid w:val="008303F9"/>
    <w:rsid w:val="008304F7"/>
    <w:rsid w:val="00831CE8"/>
    <w:rsid w:val="00834849"/>
    <w:rsid w:val="00834A9D"/>
    <w:rsid w:val="00835DC8"/>
    <w:rsid w:val="0083723D"/>
    <w:rsid w:val="008403A8"/>
    <w:rsid w:val="00840BA1"/>
    <w:rsid w:val="00844D02"/>
    <w:rsid w:val="0084563D"/>
    <w:rsid w:val="00846CEF"/>
    <w:rsid w:val="0085092D"/>
    <w:rsid w:val="00850CD9"/>
    <w:rsid w:val="00853626"/>
    <w:rsid w:val="008552AB"/>
    <w:rsid w:val="0085530C"/>
    <w:rsid w:val="008574DD"/>
    <w:rsid w:val="00862710"/>
    <w:rsid w:val="00864830"/>
    <w:rsid w:val="0086672C"/>
    <w:rsid w:val="0086698B"/>
    <w:rsid w:val="00866FE7"/>
    <w:rsid w:val="008676D4"/>
    <w:rsid w:val="00872209"/>
    <w:rsid w:val="008728F1"/>
    <w:rsid w:val="008734C3"/>
    <w:rsid w:val="00874567"/>
    <w:rsid w:val="008762E6"/>
    <w:rsid w:val="00881A28"/>
    <w:rsid w:val="00882427"/>
    <w:rsid w:val="0088254E"/>
    <w:rsid w:val="00883112"/>
    <w:rsid w:val="008854D3"/>
    <w:rsid w:val="008862E5"/>
    <w:rsid w:val="00886B1B"/>
    <w:rsid w:val="0088727C"/>
    <w:rsid w:val="00890EC4"/>
    <w:rsid w:val="008914BA"/>
    <w:rsid w:val="008948D5"/>
    <w:rsid w:val="00894D92"/>
    <w:rsid w:val="008961D9"/>
    <w:rsid w:val="00896FA7"/>
    <w:rsid w:val="00897043"/>
    <w:rsid w:val="00897297"/>
    <w:rsid w:val="008A1102"/>
    <w:rsid w:val="008A150A"/>
    <w:rsid w:val="008A1ED5"/>
    <w:rsid w:val="008A380F"/>
    <w:rsid w:val="008A3E3A"/>
    <w:rsid w:val="008A4303"/>
    <w:rsid w:val="008A4D62"/>
    <w:rsid w:val="008A4E1A"/>
    <w:rsid w:val="008A6469"/>
    <w:rsid w:val="008A71A7"/>
    <w:rsid w:val="008A7F75"/>
    <w:rsid w:val="008B10D1"/>
    <w:rsid w:val="008B252C"/>
    <w:rsid w:val="008B44BC"/>
    <w:rsid w:val="008B5573"/>
    <w:rsid w:val="008B6FED"/>
    <w:rsid w:val="008C0C9E"/>
    <w:rsid w:val="008C21A4"/>
    <w:rsid w:val="008C279C"/>
    <w:rsid w:val="008C43EC"/>
    <w:rsid w:val="008C5600"/>
    <w:rsid w:val="008C5D53"/>
    <w:rsid w:val="008C5DBF"/>
    <w:rsid w:val="008C6E12"/>
    <w:rsid w:val="008C7F0D"/>
    <w:rsid w:val="008D0193"/>
    <w:rsid w:val="008D0E93"/>
    <w:rsid w:val="008D169D"/>
    <w:rsid w:val="008D18B8"/>
    <w:rsid w:val="008D304C"/>
    <w:rsid w:val="008D3840"/>
    <w:rsid w:val="008D6139"/>
    <w:rsid w:val="008D6BC4"/>
    <w:rsid w:val="008D7981"/>
    <w:rsid w:val="008D7A56"/>
    <w:rsid w:val="008E1592"/>
    <w:rsid w:val="008E1E2A"/>
    <w:rsid w:val="008E53FB"/>
    <w:rsid w:val="008E7127"/>
    <w:rsid w:val="008E7D36"/>
    <w:rsid w:val="008F032F"/>
    <w:rsid w:val="008F03FD"/>
    <w:rsid w:val="008F5A79"/>
    <w:rsid w:val="00900003"/>
    <w:rsid w:val="00902454"/>
    <w:rsid w:val="00904003"/>
    <w:rsid w:val="009061FA"/>
    <w:rsid w:val="00910A75"/>
    <w:rsid w:val="00910EDB"/>
    <w:rsid w:val="00913262"/>
    <w:rsid w:val="009138F7"/>
    <w:rsid w:val="00913B07"/>
    <w:rsid w:val="00914B9D"/>
    <w:rsid w:val="00920420"/>
    <w:rsid w:val="00921EE0"/>
    <w:rsid w:val="0092271C"/>
    <w:rsid w:val="00922DA0"/>
    <w:rsid w:val="009244BB"/>
    <w:rsid w:val="0092516F"/>
    <w:rsid w:val="009268E5"/>
    <w:rsid w:val="00926B58"/>
    <w:rsid w:val="00930D33"/>
    <w:rsid w:val="00931055"/>
    <w:rsid w:val="0093255F"/>
    <w:rsid w:val="00932EAF"/>
    <w:rsid w:val="009346A1"/>
    <w:rsid w:val="0093621B"/>
    <w:rsid w:val="00937A40"/>
    <w:rsid w:val="00937F3D"/>
    <w:rsid w:val="00941D1D"/>
    <w:rsid w:val="00942E2C"/>
    <w:rsid w:val="00943E76"/>
    <w:rsid w:val="00947249"/>
    <w:rsid w:val="0095101D"/>
    <w:rsid w:val="0095135C"/>
    <w:rsid w:val="0095161E"/>
    <w:rsid w:val="00952611"/>
    <w:rsid w:val="00952E1B"/>
    <w:rsid w:val="009542D7"/>
    <w:rsid w:val="00954FD9"/>
    <w:rsid w:val="00956699"/>
    <w:rsid w:val="00960EE5"/>
    <w:rsid w:val="009615AB"/>
    <w:rsid w:val="00961BA4"/>
    <w:rsid w:val="00961D4B"/>
    <w:rsid w:val="00962ACB"/>
    <w:rsid w:val="009636FD"/>
    <w:rsid w:val="0096370C"/>
    <w:rsid w:val="009652B8"/>
    <w:rsid w:val="0096592E"/>
    <w:rsid w:val="0097118C"/>
    <w:rsid w:val="009717AC"/>
    <w:rsid w:val="0097214A"/>
    <w:rsid w:val="0097247D"/>
    <w:rsid w:val="00973240"/>
    <w:rsid w:val="00973EAC"/>
    <w:rsid w:val="00976AEF"/>
    <w:rsid w:val="00976B91"/>
    <w:rsid w:val="0097724A"/>
    <w:rsid w:val="00982017"/>
    <w:rsid w:val="009820B0"/>
    <w:rsid w:val="00982F53"/>
    <w:rsid w:val="009912AE"/>
    <w:rsid w:val="00992AFD"/>
    <w:rsid w:val="0099373D"/>
    <w:rsid w:val="00993C35"/>
    <w:rsid w:val="00995D15"/>
    <w:rsid w:val="00996007"/>
    <w:rsid w:val="00996531"/>
    <w:rsid w:val="00996D98"/>
    <w:rsid w:val="00997848"/>
    <w:rsid w:val="00997B6C"/>
    <w:rsid w:val="009A0CEB"/>
    <w:rsid w:val="009A19E0"/>
    <w:rsid w:val="009A45FB"/>
    <w:rsid w:val="009B0EED"/>
    <w:rsid w:val="009B1713"/>
    <w:rsid w:val="009B31E1"/>
    <w:rsid w:val="009B6433"/>
    <w:rsid w:val="009B727D"/>
    <w:rsid w:val="009B7B60"/>
    <w:rsid w:val="009B7BE4"/>
    <w:rsid w:val="009B7CE6"/>
    <w:rsid w:val="009C02C0"/>
    <w:rsid w:val="009C07A8"/>
    <w:rsid w:val="009C29E9"/>
    <w:rsid w:val="009C34C9"/>
    <w:rsid w:val="009C507E"/>
    <w:rsid w:val="009C5A5D"/>
    <w:rsid w:val="009C65E4"/>
    <w:rsid w:val="009C681A"/>
    <w:rsid w:val="009C7195"/>
    <w:rsid w:val="009D17C5"/>
    <w:rsid w:val="009D1E3E"/>
    <w:rsid w:val="009D2290"/>
    <w:rsid w:val="009D2BD8"/>
    <w:rsid w:val="009D3CB7"/>
    <w:rsid w:val="009D3D5B"/>
    <w:rsid w:val="009D41E2"/>
    <w:rsid w:val="009D4516"/>
    <w:rsid w:val="009D5909"/>
    <w:rsid w:val="009D599C"/>
    <w:rsid w:val="009D6D7B"/>
    <w:rsid w:val="009D7A86"/>
    <w:rsid w:val="009D7D2D"/>
    <w:rsid w:val="009E0D7F"/>
    <w:rsid w:val="009E208E"/>
    <w:rsid w:val="009E3787"/>
    <w:rsid w:val="009E3A20"/>
    <w:rsid w:val="009E5285"/>
    <w:rsid w:val="009E5741"/>
    <w:rsid w:val="009F0ADE"/>
    <w:rsid w:val="009F0B9F"/>
    <w:rsid w:val="009F2FF5"/>
    <w:rsid w:val="009F63C5"/>
    <w:rsid w:val="009F6413"/>
    <w:rsid w:val="009F733E"/>
    <w:rsid w:val="009F7976"/>
    <w:rsid w:val="00A01902"/>
    <w:rsid w:val="00A02D54"/>
    <w:rsid w:val="00A03977"/>
    <w:rsid w:val="00A03FB7"/>
    <w:rsid w:val="00A03FCE"/>
    <w:rsid w:val="00A03FCF"/>
    <w:rsid w:val="00A040E8"/>
    <w:rsid w:val="00A044B3"/>
    <w:rsid w:val="00A049D8"/>
    <w:rsid w:val="00A05920"/>
    <w:rsid w:val="00A06362"/>
    <w:rsid w:val="00A06699"/>
    <w:rsid w:val="00A11DD6"/>
    <w:rsid w:val="00A12402"/>
    <w:rsid w:val="00A1341D"/>
    <w:rsid w:val="00A16B7F"/>
    <w:rsid w:val="00A17FFB"/>
    <w:rsid w:val="00A20950"/>
    <w:rsid w:val="00A20A10"/>
    <w:rsid w:val="00A21B53"/>
    <w:rsid w:val="00A230EC"/>
    <w:rsid w:val="00A23A97"/>
    <w:rsid w:val="00A2473E"/>
    <w:rsid w:val="00A24EE0"/>
    <w:rsid w:val="00A254DB"/>
    <w:rsid w:val="00A26122"/>
    <w:rsid w:val="00A264CE"/>
    <w:rsid w:val="00A267D1"/>
    <w:rsid w:val="00A2730F"/>
    <w:rsid w:val="00A3058C"/>
    <w:rsid w:val="00A30B5A"/>
    <w:rsid w:val="00A30C85"/>
    <w:rsid w:val="00A32ADD"/>
    <w:rsid w:val="00A33F08"/>
    <w:rsid w:val="00A341CB"/>
    <w:rsid w:val="00A349EC"/>
    <w:rsid w:val="00A34C5B"/>
    <w:rsid w:val="00A36124"/>
    <w:rsid w:val="00A364A2"/>
    <w:rsid w:val="00A36C54"/>
    <w:rsid w:val="00A409F1"/>
    <w:rsid w:val="00A40C15"/>
    <w:rsid w:val="00A40F76"/>
    <w:rsid w:val="00A42D85"/>
    <w:rsid w:val="00A456EE"/>
    <w:rsid w:val="00A45F0E"/>
    <w:rsid w:val="00A469B2"/>
    <w:rsid w:val="00A503A2"/>
    <w:rsid w:val="00A51FDE"/>
    <w:rsid w:val="00A52606"/>
    <w:rsid w:val="00A55DF3"/>
    <w:rsid w:val="00A61367"/>
    <w:rsid w:val="00A62F4A"/>
    <w:rsid w:val="00A63445"/>
    <w:rsid w:val="00A63775"/>
    <w:rsid w:val="00A64A91"/>
    <w:rsid w:val="00A64AC7"/>
    <w:rsid w:val="00A64ADB"/>
    <w:rsid w:val="00A67C0C"/>
    <w:rsid w:val="00A70A55"/>
    <w:rsid w:val="00A7104B"/>
    <w:rsid w:val="00A72740"/>
    <w:rsid w:val="00A72B79"/>
    <w:rsid w:val="00A74DCC"/>
    <w:rsid w:val="00A750F8"/>
    <w:rsid w:val="00A75844"/>
    <w:rsid w:val="00A75D39"/>
    <w:rsid w:val="00A75D8F"/>
    <w:rsid w:val="00A816EF"/>
    <w:rsid w:val="00A81EC5"/>
    <w:rsid w:val="00A855B9"/>
    <w:rsid w:val="00A85E42"/>
    <w:rsid w:val="00A87A57"/>
    <w:rsid w:val="00A921E1"/>
    <w:rsid w:val="00A9360E"/>
    <w:rsid w:val="00AA100D"/>
    <w:rsid w:val="00AA2608"/>
    <w:rsid w:val="00AA4122"/>
    <w:rsid w:val="00AA67A8"/>
    <w:rsid w:val="00AA7CE8"/>
    <w:rsid w:val="00AB3A26"/>
    <w:rsid w:val="00AB3CB1"/>
    <w:rsid w:val="00AB467B"/>
    <w:rsid w:val="00AB51A0"/>
    <w:rsid w:val="00AC3BC5"/>
    <w:rsid w:val="00AC5718"/>
    <w:rsid w:val="00AC64F0"/>
    <w:rsid w:val="00AC65BD"/>
    <w:rsid w:val="00AC68AE"/>
    <w:rsid w:val="00AC7D63"/>
    <w:rsid w:val="00AD0587"/>
    <w:rsid w:val="00AD0913"/>
    <w:rsid w:val="00AD0B5F"/>
    <w:rsid w:val="00AD0FFB"/>
    <w:rsid w:val="00AD1215"/>
    <w:rsid w:val="00AD2248"/>
    <w:rsid w:val="00AD241B"/>
    <w:rsid w:val="00AD24A9"/>
    <w:rsid w:val="00AD367E"/>
    <w:rsid w:val="00AD3AF4"/>
    <w:rsid w:val="00AD509A"/>
    <w:rsid w:val="00AD7C22"/>
    <w:rsid w:val="00AE045A"/>
    <w:rsid w:val="00AE0C90"/>
    <w:rsid w:val="00AE1C78"/>
    <w:rsid w:val="00AE1D8C"/>
    <w:rsid w:val="00AE1FB6"/>
    <w:rsid w:val="00AE4D9F"/>
    <w:rsid w:val="00AE576E"/>
    <w:rsid w:val="00AE6243"/>
    <w:rsid w:val="00AF1094"/>
    <w:rsid w:val="00AF12BF"/>
    <w:rsid w:val="00AF21D4"/>
    <w:rsid w:val="00AF2D08"/>
    <w:rsid w:val="00AF4DB4"/>
    <w:rsid w:val="00AF5256"/>
    <w:rsid w:val="00AF5612"/>
    <w:rsid w:val="00AF57A6"/>
    <w:rsid w:val="00AF5A5D"/>
    <w:rsid w:val="00AF6636"/>
    <w:rsid w:val="00AF6D5E"/>
    <w:rsid w:val="00AF74E8"/>
    <w:rsid w:val="00AF7A95"/>
    <w:rsid w:val="00AF7F46"/>
    <w:rsid w:val="00B000C6"/>
    <w:rsid w:val="00B00BE7"/>
    <w:rsid w:val="00B02D1C"/>
    <w:rsid w:val="00B065B5"/>
    <w:rsid w:val="00B06BBB"/>
    <w:rsid w:val="00B07A65"/>
    <w:rsid w:val="00B10DCE"/>
    <w:rsid w:val="00B124E6"/>
    <w:rsid w:val="00B140A2"/>
    <w:rsid w:val="00B142CE"/>
    <w:rsid w:val="00B16095"/>
    <w:rsid w:val="00B16BEC"/>
    <w:rsid w:val="00B16F62"/>
    <w:rsid w:val="00B22D21"/>
    <w:rsid w:val="00B232DC"/>
    <w:rsid w:val="00B24C5C"/>
    <w:rsid w:val="00B26447"/>
    <w:rsid w:val="00B27F15"/>
    <w:rsid w:val="00B3078B"/>
    <w:rsid w:val="00B32D9E"/>
    <w:rsid w:val="00B33264"/>
    <w:rsid w:val="00B34E1A"/>
    <w:rsid w:val="00B35849"/>
    <w:rsid w:val="00B40B06"/>
    <w:rsid w:val="00B41285"/>
    <w:rsid w:val="00B41D3E"/>
    <w:rsid w:val="00B4369E"/>
    <w:rsid w:val="00B44A71"/>
    <w:rsid w:val="00B4638C"/>
    <w:rsid w:val="00B463E8"/>
    <w:rsid w:val="00B474EA"/>
    <w:rsid w:val="00B5066C"/>
    <w:rsid w:val="00B52CC6"/>
    <w:rsid w:val="00B54462"/>
    <w:rsid w:val="00B54973"/>
    <w:rsid w:val="00B553F9"/>
    <w:rsid w:val="00B55C30"/>
    <w:rsid w:val="00B61F99"/>
    <w:rsid w:val="00B62DE1"/>
    <w:rsid w:val="00B63012"/>
    <w:rsid w:val="00B6718E"/>
    <w:rsid w:val="00B67442"/>
    <w:rsid w:val="00B6771D"/>
    <w:rsid w:val="00B7176E"/>
    <w:rsid w:val="00B724B3"/>
    <w:rsid w:val="00B75A4D"/>
    <w:rsid w:val="00B76C7E"/>
    <w:rsid w:val="00B777CA"/>
    <w:rsid w:val="00B77DBD"/>
    <w:rsid w:val="00B77E7D"/>
    <w:rsid w:val="00B77ECE"/>
    <w:rsid w:val="00B816A1"/>
    <w:rsid w:val="00B82750"/>
    <w:rsid w:val="00B86500"/>
    <w:rsid w:val="00B92D34"/>
    <w:rsid w:val="00B92DDC"/>
    <w:rsid w:val="00B954AE"/>
    <w:rsid w:val="00B96644"/>
    <w:rsid w:val="00B96A53"/>
    <w:rsid w:val="00BA0A9B"/>
    <w:rsid w:val="00BA1326"/>
    <w:rsid w:val="00BA16AB"/>
    <w:rsid w:val="00BA2C87"/>
    <w:rsid w:val="00BA3D2E"/>
    <w:rsid w:val="00BA4082"/>
    <w:rsid w:val="00BA5D52"/>
    <w:rsid w:val="00BA71D5"/>
    <w:rsid w:val="00BA7831"/>
    <w:rsid w:val="00BB0F24"/>
    <w:rsid w:val="00BB1215"/>
    <w:rsid w:val="00BB2740"/>
    <w:rsid w:val="00BB5AC8"/>
    <w:rsid w:val="00BB5EE4"/>
    <w:rsid w:val="00BB789C"/>
    <w:rsid w:val="00BC0451"/>
    <w:rsid w:val="00BC0A2F"/>
    <w:rsid w:val="00BC23A0"/>
    <w:rsid w:val="00BC2E34"/>
    <w:rsid w:val="00BC3F42"/>
    <w:rsid w:val="00BC4009"/>
    <w:rsid w:val="00BC5B14"/>
    <w:rsid w:val="00BC623E"/>
    <w:rsid w:val="00BD01C0"/>
    <w:rsid w:val="00BD0B06"/>
    <w:rsid w:val="00BD3DEF"/>
    <w:rsid w:val="00BD44D9"/>
    <w:rsid w:val="00BD4C1F"/>
    <w:rsid w:val="00BD529C"/>
    <w:rsid w:val="00BD6305"/>
    <w:rsid w:val="00BD74CE"/>
    <w:rsid w:val="00BE2FC7"/>
    <w:rsid w:val="00BE3B4D"/>
    <w:rsid w:val="00BE454E"/>
    <w:rsid w:val="00BE6962"/>
    <w:rsid w:val="00BE736C"/>
    <w:rsid w:val="00BE7F68"/>
    <w:rsid w:val="00BE7F70"/>
    <w:rsid w:val="00BF3522"/>
    <w:rsid w:val="00BF7B83"/>
    <w:rsid w:val="00C009B7"/>
    <w:rsid w:val="00C0248B"/>
    <w:rsid w:val="00C057BF"/>
    <w:rsid w:val="00C05918"/>
    <w:rsid w:val="00C070B5"/>
    <w:rsid w:val="00C0755E"/>
    <w:rsid w:val="00C11F73"/>
    <w:rsid w:val="00C13297"/>
    <w:rsid w:val="00C136DA"/>
    <w:rsid w:val="00C14558"/>
    <w:rsid w:val="00C157D9"/>
    <w:rsid w:val="00C158F7"/>
    <w:rsid w:val="00C15F42"/>
    <w:rsid w:val="00C176F4"/>
    <w:rsid w:val="00C178FD"/>
    <w:rsid w:val="00C20FFD"/>
    <w:rsid w:val="00C211F9"/>
    <w:rsid w:val="00C249FD"/>
    <w:rsid w:val="00C24F61"/>
    <w:rsid w:val="00C25405"/>
    <w:rsid w:val="00C301F2"/>
    <w:rsid w:val="00C30443"/>
    <w:rsid w:val="00C32327"/>
    <w:rsid w:val="00C335A6"/>
    <w:rsid w:val="00C33F3D"/>
    <w:rsid w:val="00C35EC7"/>
    <w:rsid w:val="00C41A10"/>
    <w:rsid w:val="00C42491"/>
    <w:rsid w:val="00C42AAB"/>
    <w:rsid w:val="00C42F34"/>
    <w:rsid w:val="00C44E60"/>
    <w:rsid w:val="00C460F7"/>
    <w:rsid w:val="00C463B9"/>
    <w:rsid w:val="00C46469"/>
    <w:rsid w:val="00C51AFA"/>
    <w:rsid w:val="00C52202"/>
    <w:rsid w:val="00C54597"/>
    <w:rsid w:val="00C55710"/>
    <w:rsid w:val="00C559CD"/>
    <w:rsid w:val="00C55A7F"/>
    <w:rsid w:val="00C560DE"/>
    <w:rsid w:val="00C56C2B"/>
    <w:rsid w:val="00C57050"/>
    <w:rsid w:val="00C57C57"/>
    <w:rsid w:val="00C60E9B"/>
    <w:rsid w:val="00C62B21"/>
    <w:rsid w:val="00C63AD9"/>
    <w:rsid w:val="00C652F4"/>
    <w:rsid w:val="00C65589"/>
    <w:rsid w:val="00C672E7"/>
    <w:rsid w:val="00C6795E"/>
    <w:rsid w:val="00C7001D"/>
    <w:rsid w:val="00C7155C"/>
    <w:rsid w:val="00C71E2F"/>
    <w:rsid w:val="00C72C5D"/>
    <w:rsid w:val="00C73397"/>
    <w:rsid w:val="00C733FD"/>
    <w:rsid w:val="00C74463"/>
    <w:rsid w:val="00C75B80"/>
    <w:rsid w:val="00C80095"/>
    <w:rsid w:val="00C81347"/>
    <w:rsid w:val="00C827CD"/>
    <w:rsid w:val="00C83150"/>
    <w:rsid w:val="00C839A3"/>
    <w:rsid w:val="00C84059"/>
    <w:rsid w:val="00C84E0A"/>
    <w:rsid w:val="00C8506F"/>
    <w:rsid w:val="00C87234"/>
    <w:rsid w:val="00C872B7"/>
    <w:rsid w:val="00C90413"/>
    <w:rsid w:val="00C926AE"/>
    <w:rsid w:val="00C93FEE"/>
    <w:rsid w:val="00C94B70"/>
    <w:rsid w:val="00C954B2"/>
    <w:rsid w:val="00C972FA"/>
    <w:rsid w:val="00CA0AFF"/>
    <w:rsid w:val="00CA7148"/>
    <w:rsid w:val="00CB0215"/>
    <w:rsid w:val="00CB25F0"/>
    <w:rsid w:val="00CB2856"/>
    <w:rsid w:val="00CB29DD"/>
    <w:rsid w:val="00CB3C4F"/>
    <w:rsid w:val="00CB4EF2"/>
    <w:rsid w:val="00CB6109"/>
    <w:rsid w:val="00CB6339"/>
    <w:rsid w:val="00CB70F4"/>
    <w:rsid w:val="00CC0190"/>
    <w:rsid w:val="00CC2018"/>
    <w:rsid w:val="00CC332A"/>
    <w:rsid w:val="00CC3A5B"/>
    <w:rsid w:val="00CC69DF"/>
    <w:rsid w:val="00CC6F19"/>
    <w:rsid w:val="00CC758A"/>
    <w:rsid w:val="00CD4CA2"/>
    <w:rsid w:val="00CD590C"/>
    <w:rsid w:val="00CD6222"/>
    <w:rsid w:val="00CD671B"/>
    <w:rsid w:val="00CD6F91"/>
    <w:rsid w:val="00CD7F64"/>
    <w:rsid w:val="00CE00CA"/>
    <w:rsid w:val="00CE2033"/>
    <w:rsid w:val="00CE30B9"/>
    <w:rsid w:val="00CE422B"/>
    <w:rsid w:val="00CE4A0F"/>
    <w:rsid w:val="00CE5E4E"/>
    <w:rsid w:val="00CE65E1"/>
    <w:rsid w:val="00CE67A6"/>
    <w:rsid w:val="00CE6D2E"/>
    <w:rsid w:val="00CE7E5A"/>
    <w:rsid w:val="00CF1565"/>
    <w:rsid w:val="00CF2C19"/>
    <w:rsid w:val="00CF3298"/>
    <w:rsid w:val="00CF3843"/>
    <w:rsid w:val="00CF3FB5"/>
    <w:rsid w:val="00CF6E83"/>
    <w:rsid w:val="00D01898"/>
    <w:rsid w:val="00D020ED"/>
    <w:rsid w:val="00D03A00"/>
    <w:rsid w:val="00D05381"/>
    <w:rsid w:val="00D05540"/>
    <w:rsid w:val="00D063CA"/>
    <w:rsid w:val="00D07751"/>
    <w:rsid w:val="00D11251"/>
    <w:rsid w:val="00D115D2"/>
    <w:rsid w:val="00D11651"/>
    <w:rsid w:val="00D12431"/>
    <w:rsid w:val="00D14415"/>
    <w:rsid w:val="00D15168"/>
    <w:rsid w:val="00D15E73"/>
    <w:rsid w:val="00D15FCA"/>
    <w:rsid w:val="00D16031"/>
    <w:rsid w:val="00D16409"/>
    <w:rsid w:val="00D1666A"/>
    <w:rsid w:val="00D23008"/>
    <w:rsid w:val="00D25671"/>
    <w:rsid w:val="00D267D1"/>
    <w:rsid w:val="00D3003C"/>
    <w:rsid w:val="00D3515D"/>
    <w:rsid w:val="00D355DA"/>
    <w:rsid w:val="00D35D2B"/>
    <w:rsid w:val="00D37B47"/>
    <w:rsid w:val="00D41612"/>
    <w:rsid w:val="00D41962"/>
    <w:rsid w:val="00D42FFD"/>
    <w:rsid w:val="00D45071"/>
    <w:rsid w:val="00D454C2"/>
    <w:rsid w:val="00D45CB6"/>
    <w:rsid w:val="00D4608E"/>
    <w:rsid w:val="00D46840"/>
    <w:rsid w:val="00D46D3D"/>
    <w:rsid w:val="00D50F61"/>
    <w:rsid w:val="00D516BC"/>
    <w:rsid w:val="00D53E78"/>
    <w:rsid w:val="00D5585B"/>
    <w:rsid w:val="00D56863"/>
    <w:rsid w:val="00D56C61"/>
    <w:rsid w:val="00D57CF2"/>
    <w:rsid w:val="00D61F94"/>
    <w:rsid w:val="00D624B9"/>
    <w:rsid w:val="00D63D6F"/>
    <w:rsid w:val="00D64F67"/>
    <w:rsid w:val="00D66442"/>
    <w:rsid w:val="00D66691"/>
    <w:rsid w:val="00D67068"/>
    <w:rsid w:val="00D678FF"/>
    <w:rsid w:val="00D7021D"/>
    <w:rsid w:val="00D7030C"/>
    <w:rsid w:val="00D723DE"/>
    <w:rsid w:val="00D7308B"/>
    <w:rsid w:val="00D75001"/>
    <w:rsid w:val="00D751B2"/>
    <w:rsid w:val="00D75664"/>
    <w:rsid w:val="00D759FC"/>
    <w:rsid w:val="00D75C30"/>
    <w:rsid w:val="00D76D64"/>
    <w:rsid w:val="00D83AB5"/>
    <w:rsid w:val="00D87AAC"/>
    <w:rsid w:val="00D90735"/>
    <w:rsid w:val="00D90F50"/>
    <w:rsid w:val="00D92162"/>
    <w:rsid w:val="00D92D02"/>
    <w:rsid w:val="00D92D04"/>
    <w:rsid w:val="00D937DA"/>
    <w:rsid w:val="00DA0042"/>
    <w:rsid w:val="00DA0C49"/>
    <w:rsid w:val="00DA0C57"/>
    <w:rsid w:val="00DA1972"/>
    <w:rsid w:val="00DA1986"/>
    <w:rsid w:val="00DA1AF9"/>
    <w:rsid w:val="00DA209D"/>
    <w:rsid w:val="00DA24BE"/>
    <w:rsid w:val="00DA2553"/>
    <w:rsid w:val="00DA2824"/>
    <w:rsid w:val="00DA432B"/>
    <w:rsid w:val="00DA61BC"/>
    <w:rsid w:val="00DB123C"/>
    <w:rsid w:val="00DB29D6"/>
    <w:rsid w:val="00DB2A67"/>
    <w:rsid w:val="00DB343C"/>
    <w:rsid w:val="00DB4693"/>
    <w:rsid w:val="00DB4EC0"/>
    <w:rsid w:val="00DB557C"/>
    <w:rsid w:val="00DB57D4"/>
    <w:rsid w:val="00DB5E6B"/>
    <w:rsid w:val="00DC1A11"/>
    <w:rsid w:val="00DC5182"/>
    <w:rsid w:val="00DC773B"/>
    <w:rsid w:val="00DD0F0E"/>
    <w:rsid w:val="00DD199F"/>
    <w:rsid w:val="00DD523F"/>
    <w:rsid w:val="00DE0817"/>
    <w:rsid w:val="00DE11A4"/>
    <w:rsid w:val="00DE1900"/>
    <w:rsid w:val="00DE2805"/>
    <w:rsid w:val="00DE2CD2"/>
    <w:rsid w:val="00DE3766"/>
    <w:rsid w:val="00DE4084"/>
    <w:rsid w:val="00DE4A26"/>
    <w:rsid w:val="00DF0958"/>
    <w:rsid w:val="00DF0DED"/>
    <w:rsid w:val="00DF171C"/>
    <w:rsid w:val="00DF3167"/>
    <w:rsid w:val="00DF3D80"/>
    <w:rsid w:val="00DF52F0"/>
    <w:rsid w:val="00DF65AA"/>
    <w:rsid w:val="00E00713"/>
    <w:rsid w:val="00E03121"/>
    <w:rsid w:val="00E03356"/>
    <w:rsid w:val="00E061BE"/>
    <w:rsid w:val="00E0694A"/>
    <w:rsid w:val="00E106ED"/>
    <w:rsid w:val="00E112A1"/>
    <w:rsid w:val="00E12332"/>
    <w:rsid w:val="00E12B1E"/>
    <w:rsid w:val="00E135C8"/>
    <w:rsid w:val="00E13E4C"/>
    <w:rsid w:val="00E1436A"/>
    <w:rsid w:val="00E14D03"/>
    <w:rsid w:val="00E15A59"/>
    <w:rsid w:val="00E15F10"/>
    <w:rsid w:val="00E17301"/>
    <w:rsid w:val="00E1796E"/>
    <w:rsid w:val="00E17D66"/>
    <w:rsid w:val="00E2207D"/>
    <w:rsid w:val="00E221FD"/>
    <w:rsid w:val="00E23611"/>
    <w:rsid w:val="00E23619"/>
    <w:rsid w:val="00E270B4"/>
    <w:rsid w:val="00E276E4"/>
    <w:rsid w:val="00E31C97"/>
    <w:rsid w:val="00E32077"/>
    <w:rsid w:val="00E32150"/>
    <w:rsid w:val="00E3267C"/>
    <w:rsid w:val="00E32DA7"/>
    <w:rsid w:val="00E32E4C"/>
    <w:rsid w:val="00E32E74"/>
    <w:rsid w:val="00E3557E"/>
    <w:rsid w:val="00E35C5B"/>
    <w:rsid w:val="00E35DAD"/>
    <w:rsid w:val="00E37B25"/>
    <w:rsid w:val="00E41FE1"/>
    <w:rsid w:val="00E447B4"/>
    <w:rsid w:val="00E44808"/>
    <w:rsid w:val="00E45046"/>
    <w:rsid w:val="00E459AB"/>
    <w:rsid w:val="00E463B9"/>
    <w:rsid w:val="00E47206"/>
    <w:rsid w:val="00E5026A"/>
    <w:rsid w:val="00E508E5"/>
    <w:rsid w:val="00E52D44"/>
    <w:rsid w:val="00E557B8"/>
    <w:rsid w:val="00E55BA1"/>
    <w:rsid w:val="00E57458"/>
    <w:rsid w:val="00E6063D"/>
    <w:rsid w:val="00E62146"/>
    <w:rsid w:val="00E621C9"/>
    <w:rsid w:val="00E62615"/>
    <w:rsid w:val="00E63330"/>
    <w:rsid w:val="00E63AEC"/>
    <w:rsid w:val="00E647A4"/>
    <w:rsid w:val="00E655B2"/>
    <w:rsid w:val="00E6716D"/>
    <w:rsid w:val="00E7006C"/>
    <w:rsid w:val="00E71C47"/>
    <w:rsid w:val="00E71EC5"/>
    <w:rsid w:val="00E72205"/>
    <w:rsid w:val="00E74997"/>
    <w:rsid w:val="00E74F2D"/>
    <w:rsid w:val="00E760B4"/>
    <w:rsid w:val="00E762D8"/>
    <w:rsid w:val="00E763E0"/>
    <w:rsid w:val="00E83E76"/>
    <w:rsid w:val="00E847C2"/>
    <w:rsid w:val="00E85685"/>
    <w:rsid w:val="00E87053"/>
    <w:rsid w:val="00E87106"/>
    <w:rsid w:val="00E87524"/>
    <w:rsid w:val="00E87662"/>
    <w:rsid w:val="00E9046B"/>
    <w:rsid w:val="00E92807"/>
    <w:rsid w:val="00E942D2"/>
    <w:rsid w:val="00E94527"/>
    <w:rsid w:val="00E96A2E"/>
    <w:rsid w:val="00EA0621"/>
    <w:rsid w:val="00EA27F6"/>
    <w:rsid w:val="00EA457D"/>
    <w:rsid w:val="00EA6510"/>
    <w:rsid w:val="00EB13CB"/>
    <w:rsid w:val="00EB3710"/>
    <w:rsid w:val="00EB4AD4"/>
    <w:rsid w:val="00EB7AE3"/>
    <w:rsid w:val="00EC0A63"/>
    <w:rsid w:val="00EC142D"/>
    <w:rsid w:val="00EC1EBF"/>
    <w:rsid w:val="00EC41D2"/>
    <w:rsid w:val="00EC4FDF"/>
    <w:rsid w:val="00EC545F"/>
    <w:rsid w:val="00EC599A"/>
    <w:rsid w:val="00EC6117"/>
    <w:rsid w:val="00EC710E"/>
    <w:rsid w:val="00EC7C6C"/>
    <w:rsid w:val="00ED3C75"/>
    <w:rsid w:val="00ED4F73"/>
    <w:rsid w:val="00ED5300"/>
    <w:rsid w:val="00ED5AE7"/>
    <w:rsid w:val="00ED5B48"/>
    <w:rsid w:val="00ED6196"/>
    <w:rsid w:val="00EE2917"/>
    <w:rsid w:val="00EE3678"/>
    <w:rsid w:val="00EE6D47"/>
    <w:rsid w:val="00EF0273"/>
    <w:rsid w:val="00EF08C1"/>
    <w:rsid w:val="00EF2052"/>
    <w:rsid w:val="00EF3951"/>
    <w:rsid w:val="00EF3D36"/>
    <w:rsid w:val="00EF4E5B"/>
    <w:rsid w:val="00EF4EC1"/>
    <w:rsid w:val="00EF674F"/>
    <w:rsid w:val="00EF700D"/>
    <w:rsid w:val="00EF7893"/>
    <w:rsid w:val="00EF7FE3"/>
    <w:rsid w:val="00F01068"/>
    <w:rsid w:val="00F02763"/>
    <w:rsid w:val="00F03D29"/>
    <w:rsid w:val="00F03E0F"/>
    <w:rsid w:val="00F04550"/>
    <w:rsid w:val="00F05B4E"/>
    <w:rsid w:val="00F06F2D"/>
    <w:rsid w:val="00F10CF6"/>
    <w:rsid w:val="00F11324"/>
    <w:rsid w:val="00F1257F"/>
    <w:rsid w:val="00F126F6"/>
    <w:rsid w:val="00F13AFF"/>
    <w:rsid w:val="00F21AA6"/>
    <w:rsid w:val="00F22157"/>
    <w:rsid w:val="00F236C3"/>
    <w:rsid w:val="00F247A5"/>
    <w:rsid w:val="00F2511D"/>
    <w:rsid w:val="00F255BC"/>
    <w:rsid w:val="00F25955"/>
    <w:rsid w:val="00F26BCC"/>
    <w:rsid w:val="00F27145"/>
    <w:rsid w:val="00F27CB6"/>
    <w:rsid w:val="00F30DDB"/>
    <w:rsid w:val="00F31C88"/>
    <w:rsid w:val="00F33A88"/>
    <w:rsid w:val="00F34789"/>
    <w:rsid w:val="00F35B80"/>
    <w:rsid w:val="00F37237"/>
    <w:rsid w:val="00F37CFE"/>
    <w:rsid w:val="00F40D38"/>
    <w:rsid w:val="00F40EC8"/>
    <w:rsid w:val="00F4201C"/>
    <w:rsid w:val="00F42270"/>
    <w:rsid w:val="00F42C29"/>
    <w:rsid w:val="00F45077"/>
    <w:rsid w:val="00F46006"/>
    <w:rsid w:val="00F46709"/>
    <w:rsid w:val="00F4692D"/>
    <w:rsid w:val="00F47DD8"/>
    <w:rsid w:val="00F47FDC"/>
    <w:rsid w:val="00F50841"/>
    <w:rsid w:val="00F514CA"/>
    <w:rsid w:val="00F5218C"/>
    <w:rsid w:val="00F52ED3"/>
    <w:rsid w:val="00F54BB3"/>
    <w:rsid w:val="00F56064"/>
    <w:rsid w:val="00F5647A"/>
    <w:rsid w:val="00F56D13"/>
    <w:rsid w:val="00F60ED7"/>
    <w:rsid w:val="00F6109E"/>
    <w:rsid w:val="00F616C4"/>
    <w:rsid w:val="00F63DF6"/>
    <w:rsid w:val="00F644B4"/>
    <w:rsid w:val="00F644D4"/>
    <w:rsid w:val="00F65185"/>
    <w:rsid w:val="00F667EB"/>
    <w:rsid w:val="00F67F4D"/>
    <w:rsid w:val="00F7043F"/>
    <w:rsid w:val="00F70CE0"/>
    <w:rsid w:val="00F70E19"/>
    <w:rsid w:val="00F7128E"/>
    <w:rsid w:val="00F72039"/>
    <w:rsid w:val="00F73224"/>
    <w:rsid w:val="00F73BB9"/>
    <w:rsid w:val="00F74B10"/>
    <w:rsid w:val="00F75EDE"/>
    <w:rsid w:val="00F76345"/>
    <w:rsid w:val="00F76439"/>
    <w:rsid w:val="00F76B2D"/>
    <w:rsid w:val="00F76F68"/>
    <w:rsid w:val="00F77195"/>
    <w:rsid w:val="00F77361"/>
    <w:rsid w:val="00F80F64"/>
    <w:rsid w:val="00F81403"/>
    <w:rsid w:val="00F817B0"/>
    <w:rsid w:val="00F82FB9"/>
    <w:rsid w:val="00F83015"/>
    <w:rsid w:val="00F832C3"/>
    <w:rsid w:val="00F83AAD"/>
    <w:rsid w:val="00F83D0D"/>
    <w:rsid w:val="00F83E07"/>
    <w:rsid w:val="00F861F4"/>
    <w:rsid w:val="00F864C9"/>
    <w:rsid w:val="00F86A14"/>
    <w:rsid w:val="00F87D1B"/>
    <w:rsid w:val="00F923FF"/>
    <w:rsid w:val="00F92BBD"/>
    <w:rsid w:val="00F933CB"/>
    <w:rsid w:val="00F9352D"/>
    <w:rsid w:val="00F977BC"/>
    <w:rsid w:val="00FA0235"/>
    <w:rsid w:val="00FA0247"/>
    <w:rsid w:val="00FA0761"/>
    <w:rsid w:val="00FA5979"/>
    <w:rsid w:val="00FA633C"/>
    <w:rsid w:val="00FA71A5"/>
    <w:rsid w:val="00FB029D"/>
    <w:rsid w:val="00FB08DC"/>
    <w:rsid w:val="00FB1F57"/>
    <w:rsid w:val="00FB2C09"/>
    <w:rsid w:val="00FB2EF7"/>
    <w:rsid w:val="00FB31A0"/>
    <w:rsid w:val="00FB3290"/>
    <w:rsid w:val="00FB5321"/>
    <w:rsid w:val="00FB59AA"/>
    <w:rsid w:val="00FB5A62"/>
    <w:rsid w:val="00FB6E7F"/>
    <w:rsid w:val="00FB6F44"/>
    <w:rsid w:val="00FB7DD2"/>
    <w:rsid w:val="00FC045F"/>
    <w:rsid w:val="00FC1B26"/>
    <w:rsid w:val="00FC21C0"/>
    <w:rsid w:val="00FC2948"/>
    <w:rsid w:val="00FC3ACC"/>
    <w:rsid w:val="00FC3B97"/>
    <w:rsid w:val="00FC4357"/>
    <w:rsid w:val="00FC50AE"/>
    <w:rsid w:val="00FD06CC"/>
    <w:rsid w:val="00FD086C"/>
    <w:rsid w:val="00FD0AFE"/>
    <w:rsid w:val="00FD2CA3"/>
    <w:rsid w:val="00FD2D1D"/>
    <w:rsid w:val="00FD3DF2"/>
    <w:rsid w:val="00FD5E98"/>
    <w:rsid w:val="00FD71B1"/>
    <w:rsid w:val="00FD7C45"/>
    <w:rsid w:val="00FE2EFC"/>
    <w:rsid w:val="00FE4CD1"/>
    <w:rsid w:val="00FE6D37"/>
    <w:rsid w:val="00FF0AA2"/>
    <w:rsid w:val="00FF0BEB"/>
    <w:rsid w:val="00FF1B0D"/>
    <w:rsid w:val="00FF2097"/>
    <w:rsid w:val="00FF4BB9"/>
    <w:rsid w:val="00FF681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4A26"/>
    <w:pPr>
      <w:spacing w:after="200" w:line="276" w:lineRule="auto"/>
    </w:pPr>
    <w:rPr>
      <w:sz w:val="22"/>
      <w:szCs w:val="22"/>
      <w:lang w:eastAsia="en-US"/>
    </w:rPr>
  </w:style>
  <w:style w:type="paragraph" w:styleId="Titolo1">
    <w:name w:val="heading 1"/>
    <w:basedOn w:val="Elencoacolori-Colore11"/>
    <w:next w:val="Normale"/>
    <w:link w:val="Titolo1Carattere"/>
    <w:uiPriority w:val="9"/>
    <w:qFormat/>
    <w:rsid w:val="002F58B2"/>
    <w:pPr>
      <w:numPr>
        <w:numId w:val="32"/>
      </w:numPr>
      <w:autoSpaceDE w:val="0"/>
      <w:autoSpaceDN w:val="0"/>
      <w:adjustRightInd w:val="0"/>
      <w:spacing w:after="120" w:line="240" w:lineRule="auto"/>
      <w:outlineLvl w:val="0"/>
    </w:pPr>
    <w:rPr>
      <w:rFonts w:ascii="Times New Roman" w:hAnsi="Times New Roman"/>
      <w:b/>
      <w:bCs/>
      <w:sz w:val="24"/>
      <w:szCs w:val="24"/>
    </w:rPr>
  </w:style>
  <w:style w:type="paragraph" w:styleId="Titolo2">
    <w:name w:val="heading 2"/>
    <w:basedOn w:val="Elencoacolori-Colore11"/>
    <w:next w:val="Normale"/>
    <w:link w:val="Titolo2Carattere"/>
    <w:uiPriority w:val="9"/>
    <w:qFormat/>
    <w:rsid w:val="00DE3766"/>
    <w:pPr>
      <w:numPr>
        <w:ilvl w:val="1"/>
        <w:numId w:val="36"/>
      </w:numPr>
      <w:autoSpaceDE w:val="0"/>
      <w:autoSpaceDN w:val="0"/>
      <w:adjustRightInd w:val="0"/>
      <w:spacing w:after="0" w:line="240" w:lineRule="auto"/>
      <w:ind w:left="567" w:hanging="567"/>
      <w:outlineLvl w:val="1"/>
    </w:pPr>
    <w:rPr>
      <w:rFonts w:ascii="Times New Roman" w:hAnsi="Times New Roman"/>
      <w:b/>
      <w:bCs/>
      <w:i/>
      <w:iCs/>
      <w:sz w:val="24"/>
      <w:szCs w:val="24"/>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unhideWhenUsed/>
    <w:rsid w:val="0075797F"/>
    <w:pPr>
      <w:tabs>
        <w:tab w:val="center" w:pos="4819"/>
        <w:tab w:val="right" w:pos="9638"/>
      </w:tabs>
    </w:pPr>
  </w:style>
  <w:style w:type="character" w:customStyle="1" w:styleId="IntestazioneCarattere">
    <w:name w:val="Intestazione Carattere"/>
    <w:link w:val="Intestazione"/>
    <w:uiPriority w:val="99"/>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testo">
    <w:name w:val="Body Text"/>
    <w:basedOn w:val="Normale"/>
    <w:link w:val="CorpotestoCarattere"/>
    <w:uiPriority w:val="99"/>
    <w:unhideWhenUsed/>
    <w:rsid w:val="00C7155C"/>
    <w:pPr>
      <w:spacing w:after="120"/>
    </w:pPr>
  </w:style>
  <w:style w:type="character" w:customStyle="1" w:styleId="CorpotestoCarattere">
    <w:name w:val="Corpo testo Carattere"/>
    <w:link w:val="Corpo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2F58B2"/>
    <w:rPr>
      <w:rFonts w:ascii="Times New Roman" w:hAnsi="Times New Roman"/>
      <w:b/>
      <w:bCs/>
      <w:sz w:val="24"/>
      <w:szCs w:val="24"/>
      <w:lang w:eastAsia="en-US"/>
    </w:rPr>
  </w:style>
  <w:style w:type="paragraph" w:customStyle="1" w:styleId="Titolosommario1">
    <w:name w:val="Titolo sommario1"/>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2F58B2"/>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 w:type="table" w:customStyle="1" w:styleId="Sfondochiaro-Colore11">
    <w:name w:val="Sfondo chiaro - Colore 11"/>
    <w:basedOn w:val="Tabellanormale"/>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chiara-Colore31">
    <w:name w:val="Griglia chiara - Colore 31"/>
    <w:basedOn w:val="Normale"/>
    <w:uiPriority w:val="34"/>
    <w:qFormat/>
    <w:rsid w:val="00BC23A0"/>
    <w:pPr>
      <w:ind w:left="708"/>
    </w:pPr>
  </w:style>
  <w:style w:type="character" w:customStyle="1" w:styleId="Corpodeltesto4">
    <w:name w:val="Corpo del testo (4)_"/>
    <w:link w:val="Corpodeltesto40"/>
    <w:rsid w:val="000F3D68"/>
    <w:rPr>
      <w:rFonts w:ascii="Georgia" w:eastAsia="Georgia" w:hAnsi="Georgia" w:cs="Georgia"/>
      <w:sz w:val="21"/>
      <w:szCs w:val="21"/>
      <w:shd w:val="clear" w:color="auto" w:fill="FFFFFF"/>
    </w:rPr>
  </w:style>
  <w:style w:type="paragraph" w:customStyle="1" w:styleId="Corpodeltesto40">
    <w:name w:val="Corpo del testo (4)"/>
    <w:basedOn w:val="Normale"/>
    <w:link w:val="Corpodeltesto4"/>
    <w:rsid w:val="000F3D68"/>
    <w:pPr>
      <w:widowControl w:val="0"/>
      <w:shd w:val="clear" w:color="auto" w:fill="FFFFFF"/>
      <w:spacing w:after="0" w:line="324" w:lineRule="exact"/>
      <w:ind w:hanging="600"/>
      <w:jc w:val="both"/>
    </w:pPr>
    <w:rPr>
      <w:rFonts w:ascii="Georgia" w:eastAsia="Georgia" w:hAnsi="Georgia"/>
      <w:sz w:val="21"/>
      <w:szCs w:val="21"/>
    </w:rPr>
  </w:style>
  <w:style w:type="paragraph" w:customStyle="1" w:styleId="Elencochiaro-Colore31">
    <w:name w:val="Elenco chiaro - Colore 31"/>
    <w:hidden/>
    <w:uiPriority w:val="71"/>
    <w:rsid w:val="009A0CEB"/>
    <w:rPr>
      <w:sz w:val="22"/>
      <w:szCs w:val="22"/>
      <w:lang w:eastAsia="en-US"/>
    </w:rPr>
  </w:style>
  <w:style w:type="paragraph" w:customStyle="1" w:styleId="Grigliamedia21">
    <w:name w:val="Griglia media 21"/>
    <w:uiPriority w:val="1"/>
    <w:qFormat/>
    <w:rsid w:val="00F03E0F"/>
    <w:rPr>
      <w:sz w:val="22"/>
      <w:szCs w:val="22"/>
      <w:lang w:eastAsia="en-US"/>
    </w:rPr>
  </w:style>
  <w:style w:type="paragraph" w:styleId="Testonotadichiusura">
    <w:name w:val="endnote text"/>
    <w:basedOn w:val="Normale"/>
    <w:link w:val="TestonotadichiusuraCarattere"/>
    <w:uiPriority w:val="99"/>
    <w:semiHidden/>
    <w:unhideWhenUsed/>
    <w:rsid w:val="00ED5AE7"/>
    <w:rPr>
      <w:sz w:val="20"/>
      <w:szCs w:val="20"/>
    </w:rPr>
  </w:style>
  <w:style w:type="character" w:customStyle="1" w:styleId="TestonotadichiusuraCarattere">
    <w:name w:val="Testo nota di chiusura Carattere"/>
    <w:link w:val="Testonotadichiusura"/>
    <w:uiPriority w:val="99"/>
    <w:semiHidden/>
    <w:rsid w:val="00ED5AE7"/>
    <w:rPr>
      <w:lang w:eastAsia="en-US"/>
    </w:rPr>
  </w:style>
  <w:style w:type="character" w:styleId="Rimandonotadichiusura">
    <w:name w:val="endnote reference"/>
    <w:uiPriority w:val="99"/>
    <w:semiHidden/>
    <w:unhideWhenUsed/>
    <w:rsid w:val="00ED5AE7"/>
    <w:rPr>
      <w:vertAlign w:val="superscript"/>
    </w:rPr>
  </w:style>
  <w:style w:type="paragraph" w:styleId="Testonotaapidipagina">
    <w:name w:val="footnote text"/>
    <w:basedOn w:val="Normale"/>
    <w:link w:val="TestonotaapidipaginaCarattere"/>
    <w:uiPriority w:val="99"/>
    <w:unhideWhenUsed/>
    <w:rsid w:val="00ED5AE7"/>
    <w:rPr>
      <w:sz w:val="20"/>
      <w:szCs w:val="20"/>
    </w:rPr>
  </w:style>
  <w:style w:type="character" w:customStyle="1" w:styleId="TestonotaapidipaginaCarattere">
    <w:name w:val="Testo nota a piè di pagina Carattere"/>
    <w:link w:val="Testonotaapidipagina"/>
    <w:uiPriority w:val="99"/>
    <w:rsid w:val="00ED5AE7"/>
    <w:rPr>
      <w:lang w:eastAsia="en-US"/>
    </w:rPr>
  </w:style>
  <w:style w:type="character" w:styleId="Rimandonotaapidipagina">
    <w:name w:val="footnote reference"/>
    <w:uiPriority w:val="99"/>
    <w:unhideWhenUsed/>
    <w:rsid w:val="00ED5AE7"/>
    <w:rPr>
      <w:vertAlign w:val="superscript"/>
    </w:rPr>
  </w:style>
  <w:style w:type="paragraph" w:styleId="Nessunaspaziatura">
    <w:name w:val="No Spacing"/>
    <w:uiPriority w:val="1"/>
    <w:qFormat/>
    <w:rsid w:val="007F41AB"/>
    <w:rPr>
      <w:sz w:val="22"/>
      <w:szCs w:val="22"/>
      <w:lang w:eastAsia="en-US"/>
    </w:rPr>
  </w:style>
  <w:style w:type="paragraph" w:styleId="Paragrafoelenco">
    <w:name w:val="List Paragraph"/>
    <w:basedOn w:val="Normale"/>
    <w:uiPriority w:val="34"/>
    <w:qFormat/>
    <w:rsid w:val="00A349EC"/>
    <w:pPr>
      <w:ind w:left="720"/>
      <w:contextualSpacing/>
    </w:pPr>
  </w:style>
  <w:style w:type="table" w:styleId="Sfondochiaro-Colore1">
    <w:name w:val="Light Shading Accent 1"/>
    <w:basedOn w:val="Tabellanormale"/>
    <w:uiPriority w:val="60"/>
    <w:rsid w:val="006220FA"/>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Revisione">
    <w:name w:val="Revision"/>
    <w:hidden/>
    <w:uiPriority w:val="99"/>
    <w:semiHidden/>
    <w:rsid w:val="009D3CB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4A26"/>
    <w:pPr>
      <w:spacing w:after="200" w:line="276" w:lineRule="auto"/>
    </w:pPr>
    <w:rPr>
      <w:sz w:val="22"/>
      <w:szCs w:val="22"/>
      <w:lang w:eastAsia="en-US"/>
    </w:rPr>
  </w:style>
  <w:style w:type="paragraph" w:styleId="Titolo1">
    <w:name w:val="heading 1"/>
    <w:basedOn w:val="Elencoacolori-Colore11"/>
    <w:next w:val="Normale"/>
    <w:link w:val="Titolo1Carattere"/>
    <w:uiPriority w:val="9"/>
    <w:qFormat/>
    <w:rsid w:val="002F58B2"/>
    <w:pPr>
      <w:numPr>
        <w:numId w:val="32"/>
      </w:numPr>
      <w:autoSpaceDE w:val="0"/>
      <w:autoSpaceDN w:val="0"/>
      <w:adjustRightInd w:val="0"/>
      <w:spacing w:after="120" w:line="240" w:lineRule="auto"/>
      <w:outlineLvl w:val="0"/>
    </w:pPr>
    <w:rPr>
      <w:rFonts w:ascii="Times New Roman" w:hAnsi="Times New Roman"/>
      <w:b/>
      <w:bCs/>
      <w:sz w:val="24"/>
      <w:szCs w:val="24"/>
    </w:rPr>
  </w:style>
  <w:style w:type="paragraph" w:styleId="Titolo2">
    <w:name w:val="heading 2"/>
    <w:basedOn w:val="Elencoacolori-Colore11"/>
    <w:next w:val="Normale"/>
    <w:link w:val="Titolo2Carattere"/>
    <w:uiPriority w:val="9"/>
    <w:qFormat/>
    <w:rsid w:val="00DE3766"/>
    <w:pPr>
      <w:numPr>
        <w:ilvl w:val="1"/>
        <w:numId w:val="36"/>
      </w:numPr>
      <w:autoSpaceDE w:val="0"/>
      <w:autoSpaceDN w:val="0"/>
      <w:adjustRightInd w:val="0"/>
      <w:spacing w:after="0" w:line="240" w:lineRule="auto"/>
      <w:ind w:left="567" w:hanging="567"/>
      <w:outlineLvl w:val="1"/>
    </w:pPr>
    <w:rPr>
      <w:rFonts w:ascii="Times New Roman" w:hAnsi="Times New Roman"/>
      <w:b/>
      <w:bCs/>
      <w:i/>
      <w:iCs/>
      <w:sz w:val="24"/>
      <w:szCs w:val="24"/>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unhideWhenUsed/>
    <w:rsid w:val="0075797F"/>
    <w:pPr>
      <w:tabs>
        <w:tab w:val="center" w:pos="4819"/>
        <w:tab w:val="right" w:pos="9638"/>
      </w:tabs>
    </w:pPr>
  </w:style>
  <w:style w:type="character" w:customStyle="1" w:styleId="IntestazioneCarattere">
    <w:name w:val="Intestazione Carattere"/>
    <w:link w:val="Intestazione"/>
    <w:uiPriority w:val="99"/>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testo">
    <w:name w:val="Body Text"/>
    <w:basedOn w:val="Normale"/>
    <w:link w:val="CorpotestoCarattere"/>
    <w:uiPriority w:val="99"/>
    <w:unhideWhenUsed/>
    <w:rsid w:val="00C7155C"/>
    <w:pPr>
      <w:spacing w:after="120"/>
    </w:pPr>
  </w:style>
  <w:style w:type="character" w:customStyle="1" w:styleId="CorpotestoCarattere">
    <w:name w:val="Corpo testo Carattere"/>
    <w:link w:val="Corpo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2F58B2"/>
    <w:rPr>
      <w:rFonts w:ascii="Times New Roman" w:hAnsi="Times New Roman"/>
      <w:b/>
      <w:bCs/>
      <w:sz w:val="24"/>
      <w:szCs w:val="24"/>
      <w:lang w:eastAsia="en-US"/>
    </w:rPr>
  </w:style>
  <w:style w:type="paragraph" w:customStyle="1" w:styleId="Titolosommario1">
    <w:name w:val="Titolo sommario1"/>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2F58B2"/>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 w:type="table" w:customStyle="1" w:styleId="Sfondochiaro-Colore11">
    <w:name w:val="Sfondo chiaro - Colore 11"/>
    <w:basedOn w:val="Tabellanormale"/>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chiara-Colore31">
    <w:name w:val="Griglia chiara - Colore 31"/>
    <w:basedOn w:val="Normale"/>
    <w:uiPriority w:val="34"/>
    <w:qFormat/>
    <w:rsid w:val="00BC23A0"/>
    <w:pPr>
      <w:ind w:left="708"/>
    </w:pPr>
  </w:style>
  <w:style w:type="character" w:customStyle="1" w:styleId="Corpodeltesto4">
    <w:name w:val="Corpo del testo (4)_"/>
    <w:link w:val="Corpodeltesto40"/>
    <w:rsid w:val="000F3D68"/>
    <w:rPr>
      <w:rFonts w:ascii="Georgia" w:eastAsia="Georgia" w:hAnsi="Georgia" w:cs="Georgia"/>
      <w:sz w:val="21"/>
      <w:szCs w:val="21"/>
      <w:shd w:val="clear" w:color="auto" w:fill="FFFFFF"/>
    </w:rPr>
  </w:style>
  <w:style w:type="paragraph" w:customStyle="1" w:styleId="Corpodeltesto40">
    <w:name w:val="Corpo del testo (4)"/>
    <w:basedOn w:val="Normale"/>
    <w:link w:val="Corpodeltesto4"/>
    <w:rsid w:val="000F3D68"/>
    <w:pPr>
      <w:widowControl w:val="0"/>
      <w:shd w:val="clear" w:color="auto" w:fill="FFFFFF"/>
      <w:spacing w:after="0" w:line="324" w:lineRule="exact"/>
      <w:ind w:hanging="600"/>
      <w:jc w:val="both"/>
    </w:pPr>
    <w:rPr>
      <w:rFonts w:ascii="Georgia" w:eastAsia="Georgia" w:hAnsi="Georgia"/>
      <w:sz w:val="21"/>
      <w:szCs w:val="21"/>
    </w:rPr>
  </w:style>
  <w:style w:type="paragraph" w:customStyle="1" w:styleId="Elencochiaro-Colore31">
    <w:name w:val="Elenco chiaro - Colore 31"/>
    <w:hidden/>
    <w:uiPriority w:val="71"/>
    <w:rsid w:val="009A0CEB"/>
    <w:rPr>
      <w:sz w:val="22"/>
      <w:szCs w:val="22"/>
      <w:lang w:eastAsia="en-US"/>
    </w:rPr>
  </w:style>
  <w:style w:type="paragraph" w:customStyle="1" w:styleId="Grigliamedia21">
    <w:name w:val="Griglia media 21"/>
    <w:uiPriority w:val="1"/>
    <w:qFormat/>
    <w:rsid w:val="00F03E0F"/>
    <w:rPr>
      <w:sz w:val="22"/>
      <w:szCs w:val="22"/>
      <w:lang w:eastAsia="en-US"/>
    </w:rPr>
  </w:style>
  <w:style w:type="paragraph" w:styleId="Testonotadichiusura">
    <w:name w:val="endnote text"/>
    <w:basedOn w:val="Normale"/>
    <w:link w:val="TestonotadichiusuraCarattere"/>
    <w:uiPriority w:val="99"/>
    <w:semiHidden/>
    <w:unhideWhenUsed/>
    <w:rsid w:val="00ED5AE7"/>
    <w:rPr>
      <w:sz w:val="20"/>
      <w:szCs w:val="20"/>
    </w:rPr>
  </w:style>
  <w:style w:type="character" w:customStyle="1" w:styleId="TestonotadichiusuraCarattere">
    <w:name w:val="Testo nota di chiusura Carattere"/>
    <w:link w:val="Testonotadichiusura"/>
    <w:uiPriority w:val="99"/>
    <w:semiHidden/>
    <w:rsid w:val="00ED5AE7"/>
    <w:rPr>
      <w:lang w:eastAsia="en-US"/>
    </w:rPr>
  </w:style>
  <w:style w:type="character" w:styleId="Rimandonotadichiusura">
    <w:name w:val="endnote reference"/>
    <w:uiPriority w:val="99"/>
    <w:semiHidden/>
    <w:unhideWhenUsed/>
    <w:rsid w:val="00ED5AE7"/>
    <w:rPr>
      <w:vertAlign w:val="superscript"/>
    </w:rPr>
  </w:style>
  <w:style w:type="paragraph" w:styleId="Testonotaapidipagina">
    <w:name w:val="footnote text"/>
    <w:basedOn w:val="Normale"/>
    <w:link w:val="TestonotaapidipaginaCarattere"/>
    <w:uiPriority w:val="99"/>
    <w:unhideWhenUsed/>
    <w:rsid w:val="00ED5AE7"/>
    <w:rPr>
      <w:sz w:val="20"/>
      <w:szCs w:val="20"/>
    </w:rPr>
  </w:style>
  <w:style w:type="character" w:customStyle="1" w:styleId="TestonotaapidipaginaCarattere">
    <w:name w:val="Testo nota a piè di pagina Carattere"/>
    <w:link w:val="Testonotaapidipagina"/>
    <w:uiPriority w:val="99"/>
    <w:rsid w:val="00ED5AE7"/>
    <w:rPr>
      <w:lang w:eastAsia="en-US"/>
    </w:rPr>
  </w:style>
  <w:style w:type="character" w:styleId="Rimandonotaapidipagina">
    <w:name w:val="footnote reference"/>
    <w:uiPriority w:val="99"/>
    <w:unhideWhenUsed/>
    <w:rsid w:val="00ED5AE7"/>
    <w:rPr>
      <w:vertAlign w:val="superscript"/>
    </w:rPr>
  </w:style>
  <w:style w:type="paragraph" w:styleId="Nessunaspaziatura">
    <w:name w:val="No Spacing"/>
    <w:uiPriority w:val="1"/>
    <w:qFormat/>
    <w:rsid w:val="007F41AB"/>
    <w:rPr>
      <w:sz w:val="22"/>
      <w:szCs w:val="22"/>
      <w:lang w:eastAsia="en-US"/>
    </w:rPr>
  </w:style>
  <w:style w:type="paragraph" w:styleId="Paragrafoelenco">
    <w:name w:val="List Paragraph"/>
    <w:basedOn w:val="Normale"/>
    <w:uiPriority w:val="34"/>
    <w:qFormat/>
    <w:rsid w:val="00A349EC"/>
    <w:pPr>
      <w:ind w:left="720"/>
      <w:contextualSpacing/>
    </w:pPr>
  </w:style>
  <w:style w:type="table" w:styleId="Sfondochiaro-Colore1">
    <w:name w:val="Light Shading Accent 1"/>
    <w:basedOn w:val="Tabellanormale"/>
    <w:uiPriority w:val="60"/>
    <w:rsid w:val="006220FA"/>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Revisione">
    <w:name w:val="Revision"/>
    <w:hidden/>
    <w:uiPriority w:val="99"/>
    <w:semiHidden/>
    <w:rsid w:val="009D3C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100">
      <w:bodyDiv w:val="1"/>
      <w:marLeft w:val="0"/>
      <w:marRight w:val="0"/>
      <w:marTop w:val="0"/>
      <w:marBottom w:val="0"/>
      <w:divBdr>
        <w:top w:val="none" w:sz="0" w:space="0" w:color="auto"/>
        <w:left w:val="none" w:sz="0" w:space="0" w:color="auto"/>
        <w:bottom w:val="none" w:sz="0" w:space="0" w:color="auto"/>
        <w:right w:val="none" w:sz="0" w:space="0" w:color="auto"/>
      </w:divBdr>
    </w:div>
    <w:div w:id="25065697">
      <w:bodyDiv w:val="1"/>
      <w:marLeft w:val="0"/>
      <w:marRight w:val="0"/>
      <w:marTop w:val="0"/>
      <w:marBottom w:val="0"/>
      <w:divBdr>
        <w:top w:val="none" w:sz="0" w:space="0" w:color="auto"/>
        <w:left w:val="none" w:sz="0" w:space="0" w:color="auto"/>
        <w:bottom w:val="none" w:sz="0" w:space="0" w:color="auto"/>
        <w:right w:val="none" w:sz="0" w:space="0" w:color="auto"/>
      </w:divBdr>
    </w:div>
    <w:div w:id="29377955">
      <w:bodyDiv w:val="1"/>
      <w:marLeft w:val="0"/>
      <w:marRight w:val="0"/>
      <w:marTop w:val="0"/>
      <w:marBottom w:val="0"/>
      <w:divBdr>
        <w:top w:val="none" w:sz="0" w:space="0" w:color="auto"/>
        <w:left w:val="none" w:sz="0" w:space="0" w:color="auto"/>
        <w:bottom w:val="none" w:sz="0" w:space="0" w:color="auto"/>
        <w:right w:val="none" w:sz="0" w:space="0" w:color="auto"/>
      </w:divBdr>
    </w:div>
    <w:div w:id="35280800">
      <w:bodyDiv w:val="1"/>
      <w:marLeft w:val="0"/>
      <w:marRight w:val="0"/>
      <w:marTop w:val="0"/>
      <w:marBottom w:val="0"/>
      <w:divBdr>
        <w:top w:val="none" w:sz="0" w:space="0" w:color="auto"/>
        <w:left w:val="none" w:sz="0" w:space="0" w:color="auto"/>
        <w:bottom w:val="none" w:sz="0" w:space="0" w:color="auto"/>
        <w:right w:val="none" w:sz="0" w:space="0" w:color="auto"/>
      </w:divBdr>
    </w:div>
    <w:div w:id="84499099">
      <w:bodyDiv w:val="1"/>
      <w:marLeft w:val="0"/>
      <w:marRight w:val="0"/>
      <w:marTop w:val="0"/>
      <w:marBottom w:val="0"/>
      <w:divBdr>
        <w:top w:val="none" w:sz="0" w:space="0" w:color="auto"/>
        <w:left w:val="none" w:sz="0" w:space="0" w:color="auto"/>
        <w:bottom w:val="none" w:sz="0" w:space="0" w:color="auto"/>
        <w:right w:val="none" w:sz="0" w:space="0" w:color="auto"/>
      </w:divBdr>
    </w:div>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33332588">
      <w:bodyDiv w:val="1"/>
      <w:marLeft w:val="0"/>
      <w:marRight w:val="0"/>
      <w:marTop w:val="0"/>
      <w:marBottom w:val="0"/>
      <w:divBdr>
        <w:top w:val="none" w:sz="0" w:space="0" w:color="auto"/>
        <w:left w:val="none" w:sz="0" w:space="0" w:color="auto"/>
        <w:bottom w:val="none" w:sz="0" w:space="0" w:color="auto"/>
        <w:right w:val="none" w:sz="0" w:space="0" w:color="auto"/>
      </w:divBdr>
    </w:div>
    <w:div w:id="136609212">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210192597">
      <w:bodyDiv w:val="1"/>
      <w:marLeft w:val="0"/>
      <w:marRight w:val="0"/>
      <w:marTop w:val="0"/>
      <w:marBottom w:val="0"/>
      <w:divBdr>
        <w:top w:val="none" w:sz="0" w:space="0" w:color="auto"/>
        <w:left w:val="none" w:sz="0" w:space="0" w:color="auto"/>
        <w:bottom w:val="none" w:sz="0" w:space="0" w:color="auto"/>
        <w:right w:val="none" w:sz="0" w:space="0" w:color="auto"/>
      </w:divBdr>
    </w:div>
    <w:div w:id="223370696">
      <w:bodyDiv w:val="1"/>
      <w:marLeft w:val="0"/>
      <w:marRight w:val="0"/>
      <w:marTop w:val="0"/>
      <w:marBottom w:val="0"/>
      <w:divBdr>
        <w:top w:val="none" w:sz="0" w:space="0" w:color="auto"/>
        <w:left w:val="none" w:sz="0" w:space="0" w:color="auto"/>
        <w:bottom w:val="none" w:sz="0" w:space="0" w:color="auto"/>
        <w:right w:val="none" w:sz="0" w:space="0" w:color="auto"/>
      </w:divBdr>
    </w:div>
    <w:div w:id="381178390">
      <w:bodyDiv w:val="1"/>
      <w:marLeft w:val="0"/>
      <w:marRight w:val="0"/>
      <w:marTop w:val="0"/>
      <w:marBottom w:val="0"/>
      <w:divBdr>
        <w:top w:val="none" w:sz="0" w:space="0" w:color="auto"/>
        <w:left w:val="none" w:sz="0" w:space="0" w:color="auto"/>
        <w:bottom w:val="none" w:sz="0" w:space="0" w:color="auto"/>
        <w:right w:val="none" w:sz="0" w:space="0" w:color="auto"/>
      </w:divBdr>
    </w:div>
    <w:div w:id="419715410">
      <w:bodyDiv w:val="1"/>
      <w:marLeft w:val="0"/>
      <w:marRight w:val="0"/>
      <w:marTop w:val="0"/>
      <w:marBottom w:val="0"/>
      <w:divBdr>
        <w:top w:val="none" w:sz="0" w:space="0" w:color="auto"/>
        <w:left w:val="none" w:sz="0" w:space="0" w:color="auto"/>
        <w:bottom w:val="none" w:sz="0" w:space="0" w:color="auto"/>
        <w:right w:val="none" w:sz="0" w:space="0" w:color="auto"/>
      </w:divBdr>
    </w:div>
    <w:div w:id="480002957">
      <w:bodyDiv w:val="1"/>
      <w:marLeft w:val="0"/>
      <w:marRight w:val="0"/>
      <w:marTop w:val="0"/>
      <w:marBottom w:val="0"/>
      <w:divBdr>
        <w:top w:val="none" w:sz="0" w:space="0" w:color="auto"/>
        <w:left w:val="none" w:sz="0" w:space="0" w:color="auto"/>
        <w:bottom w:val="none" w:sz="0" w:space="0" w:color="auto"/>
        <w:right w:val="none" w:sz="0" w:space="0" w:color="auto"/>
      </w:divBdr>
    </w:div>
    <w:div w:id="519392609">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649943712">
      <w:bodyDiv w:val="1"/>
      <w:marLeft w:val="0"/>
      <w:marRight w:val="0"/>
      <w:marTop w:val="0"/>
      <w:marBottom w:val="0"/>
      <w:divBdr>
        <w:top w:val="none" w:sz="0" w:space="0" w:color="auto"/>
        <w:left w:val="none" w:sz="0" w:space="0" w:color="auto"/>
        <w:bottom w:val="none" w:sz="0" w:space="0" w:color="auto"/>
        <w:right w:val="none" w:sz="0" w:space="0" w:color="auto"/>
      </w:divBdr>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850723389">
      <w:bodyDiv w:val="1"/>
      <w:marLeft w:val="0"/>
      <w:marRight w:val="0"/>
      <w:marTop w:val="0"/>
      <w:marBottom w:val="0"/>
      <w:divBdr>
        <w:top w:val="none" w:sz="0" w:space="0" w:color="auto"/>
        <w:left w:val="none" w:sz="0" w:space="0" w:color="auto"/>
        <w:bottom w:val="none" w:sz="0" w:space="0" w:color="auto"/>
        <w:right w:val="none" w:sz="0" w:space="0" w:color="auto"/>
      </w:divBdr>
    </w:div>
    <w:div w:id="890268787">
      <w:bodyDiv w:val="1"/>
      <w:marLeft w:val="0"/>
      <w:marRight w:val="0"/>
      <w:marTop w:val="0"/>
      <w:marBottom w:val="0"/>
      <w:divBdr>
        <w:top w:val="none" w:sz="0" w:space="0" w:color="auto"/>
        <w:left w:val="none" w:sz="0" w:space="0" w:color="auto"/>
        <w:bottom w:val="none" w:sz="0" w:space="0" w:color="auto"/>
        <w:right w:val="none" w:sz="0" w:space="0" w:color="auto"/>
      </w:divBdr>
    </w:div>
    <w:div w:id="910506555">
      <w:bodyDiv w:val="1"/>
      <w:marLeft w:val="0"/>
      <w:marRight w:val="0"/>
      <w:marTop w:val="0"/>
      <w:marBottom w:val="0"/>
      <w:divBdr>
        <w:top w:val="none" w:sz="0" w:space="0" w:color="auto"/>
        <w:left w:val="none" w:sz="0" w:space="0" w:color="auto"/>
        <w:bottom w:val="none" w:sz="0" w:space="0" w:color="auto"/>
        <w:right w:val="none" w:sz="0" w:space="0" w:color="auto"/>
      </w:divBdr>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999118849">
      <w:bodyDiv w:val="1"/>
      <w:marLeft w:val="0"/>
      <w:marRight w:val="0"/>
      <w:marTop w:val="0"/>
      <w:marBottom w:val="0"/>
      <w:divBdr>
        <w:top w:val="none" w:sz="0" w:space="0" w:color="auto"/>
        <w:left w:val="none" w:sz="0" w:space="0" w:color="auto"/>
        <w:bottom w:val="none" w:sz="0" w:space="0" w:color="auto"/>
        <w:right w:val="none" w:sz="0" w:space="0" w:color="auto"/>
      </w:divBdr>
    </w:div>
    <w:div w:id="1050349764">
      <w:bodyDiv w:val="1"/>
      <w:marLeft w:val="0"/>
      <w:marRight w:val="0"/>
      <w:marTop w:val="0"/>
      <w:marBottom w:val="0"/>
      <w:divBdr>
        <w:top w:val="none" w:sz="0" w:space="0" w:color="auto"/>
        <w:left w:val="none" w:sz="0" w:space="0" w:color="auto"/>
        <w:bottom w:val="none" w:sz="0" w:space="0" w:color="auto"/>
        <w:right w:val="none" w:sz="0" w:space="0" w:color="auto"/>
      </w:divBdr>
    </w:div>
    <w:div w:id="1052079357">
      <w:bodyDiv w:val="1"/>
      <w:marLeft w:val="0"/>
      <w:marRight w:val="0"/>
      <w:marTop w:val="0"/>
      <w:marBottom w:val="0"/>
      <w:divBdr>
        <w:top w:val="none" w:sz="0" w:space="0" w:color="auto"/>
        <w:left w:val="none" w:sz="0" w:space="0" w:color="auto"/>
        <w:bottom w:val="none" w:sz="0" w:space="0" w:color="auto"/>
        <w:right w:val="none" w:sz="0" w:space="0" w:color="auto"/>
      </w:divBdr>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2281896">
      <w:bodyDiv w:val="1"/>
      <w:marLeft w:val="0"/>
      <w:marRight w:val="0"/>
      <w:marTop w:val="0"/>
      <w:marBottom w:val="0"/>
      <w:divBdr>
        <w:top w:val="none" w:sz="0" w:space="0" w:color="auto"/>
        <w:left w:val="none" w:sz="0" w:space="0" w:color="auto"/>
        <w:bottom w:val="none" w:sz="0" w:space="0" w:color="auto"/>
        <w:right w:val="none" w:sz="0" w:space="0" w:color="auto"/>
      </w:divBdr>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88324974">
      <w:bodyDiv w:val="1"/>
      <w:marLeft w:val="0"/>
      <w:marRight w:val="0"/>
      <w:marTop w:val="0"/>
      <w:marBottom w:val="0"/>
      <w:divBdr>
        <w:top w:val="none" w:sz="0" w:space="0" w:color="auto"/>
        <w:left w:val="none" w:sz="0" w:space="0" w:color="auto"/>
        <w:bottom w:val="none" w:sz="0" w:space="0" w:color="auto"/>
        <w:right w:val="none" w:sz="0" w:space="0" w:color="auto"/>
      </w:divBdr>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211767229">
      <w:bodyDiv w:val="1"/>
      <w:marLeft w:val="0"/>
      <w:marRight w:val="0"/>
      <w:marTop w:val="0"/>
      <w:marBottom w:val="0"/>
      <w:divBdr>
        <w:top w:val="none" w:sz="0" w:space="0" w:color="auto"/>
        <w:left w:val="none" w:sz="0" w:space="0" w:color="auto"/>
        <w:bottom w:val="none" w:sz="0" w:space="0" w:color="auto"/>
        <w:right w:val="none" w:sz="0" w:space="0" w:color="auto"/>
      </w:divBdr>
    </w:div>
    <w:div w:id="1326058157">
      <w:bodyDiv w:val="1"/>
      <w:marLeft w:val="0"/>
      <w:marRight w:val="0"/>
      <w:marTop w:val="0"/>
      <w:marBottom w:val="0"/>
      <w:divBdr>
        <w:top w:val="none" w:sz="0" w:space="0" w:color="auto"/>
        <w:left w:val="none" w:sz="0" w:space="0" w:color="auto"/>
        <w:bottom w:val="none" w:sz="0" w:space="0" w:color="auto"/>
        <w:right w:val="none" w:sz="0" w:space="0" w:color="auto"/>
      </w:divBdr>
    </w:div>
    <w:div w:id="1340625042">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51196016">
      <w:bodyDiv w:val="1"/>
      <w:marLeft w:val="0"/>
      <w:marRight w:val="0"/>
      <w:marTop w:val="0"/>
      <w:marBottom w:val="0"/>
      <w:divBdr>
        <w:top w:val="none" w:sz="0" w:space="0" w:color="auto"/>
        <w:left w:val="none" w:sz="0" w:space="0" w:color="auto"/>
        <w:bottom w:val="none" w:sz="0" w:space="0" w:color="auto"/>
        <w:right w:val="none" w:sz="0" w:space="0" w:color="auto"/>
      </w:divBdr>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482845374">
      <w:bodyDiv w:val="1"/>
      <w:marLeft w:val="0"/>
      <w:marRight w:val="0"/>
      <w:marTop w:val="0"/>
      <w:marBottom w:val="0"/>
      <w:divBdr>
        <w:top w:val="none" w:sz="0" w:space="0" w:color="auto"/>
        <w:left w:val="none" w:sz="0" w:space="0" w:color="auto"/>
        <w:bottom w:val="none" w:sz="0" w:space="0" w:color="auto"/>
        <w:right w:val="none" w:sz="0" w:space="0" w:color="auto"/>
      </w:divBdr>
    </w:div>
    <w:div w:id="1484740385">
      <w:bodyDiv w:val="1"/>
      <w:marLeft w:val="0"/>
      <w:marRight w:val="0"/>
      <w:marTop w:val="0"/>
      <w:marBottom w:val="0"/>
      <w:divBdr>
        <w:top w:val="none" w:sz="0" w:space="0" w:color="auto"/>
        <w:left w:val="none" w:sz="0" w:space="0" w:color="auto"/>
        <w:bottom w:val="none" w:sz="0" w:space="0" w:color="auto"/>
        <w:right w:val="none" w:sz="0" w:space="0" w:color="auto"/>
      </w:divBdr>
    </w:div>
    <w:div w:id="1539581287">
      <w:bodyDiv w:val="1"/>
      <w:marLeft w:val="0"/>
      <w:marRight w:val="0"/>
      <w:marTop w:val="0"/>
      <w:marBottom w:val="0"/>
      <w:divBdr>
        <w:top w:val="none" w:sz="0" w:space="0" w:color="auto"/>
        <w:left w:val="none" w:sz="0" w:space="0" w:color="auto"/>
        <w:bottom w:val="none" w:sz="0" w:space="0" w:color="auto"/>
        <w:right w:val="none" w:sz="0" w:space="0" w:color="auto"/>
      </w:divBdr>
    </w:div>
    <w:div w:id="1552842125">
      <w:bodyDiv w:val="1"/>
      <w:marLeft w:val="0"/>
      <w:marRight w:val="0"/>
      <w:marTop w:val="0"/>
      <w:marBottom w:val="0"/>
      <w:divBdr>
        <w:top w:val="none" w:sz="0" w:space="0" w:color="auto"/>
        <w:left w:val="none" w:sz="0" w:space="0" w:color="auto"/>
        <w:bottom w:val="none" w:sz="0" w:space="0" w:color="auto"/>
        <w:right w:val="none" w:sz="0" w:space="0" w:color="auto"/>
      </w:divBdr>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678997261">
      <w:bodyDiv w:val="1"/>
      <w:marLeft w:val="0"/>
      <w:marRight w:val="0"/>
      <w:marTop w:val="0"/>
      <w:marBottom w:val="0"/>
      <w:divBdr>
        <w:top w:val="none" w:sz="0" w:space="0" w:color="auto"/>
        <w:left w:val="none" w:sz="0" w:space="0" w:color="auto"/>
        <w:bottom w:val="none" w:sz="0" w:space="0" w:color="auto"/>
        <w:right w:val="none" w:sz="0" w:space="0" w:color="auto"/>
      </w:divBdr>
    </w:div>
    <w:div w:id="1702196334">
      <w:bodyDiv w:val="1"/>
      <w:marLeft w:val="0"/>
      <w:marRight w:val="0"/>
      <w:marTop w:val="0"/>
      <w:marBottom w:val="0"/>
      <w:divBdr>
        <w:top w:val="none" w:sz="0" w:space="0" w:color="auto"/>
        <w:left w:val="none" w:sz="0" w:space="0" w:color="auto"/>
        <w:bottom w:val="none" w:sz="0" w:space="0" w:color="auto"/>
        <w:right w:val="none" w:sz="0" w:space="0" w:color="auto"/>
      </w:divBdr>
    </w:div>
    <w:div w:id="1784958271">
      <w:bodyDiv w:val="1"/>
      <w:marLeft w:val="0"/>
      <w:marRight w:val="0"/>
      <w:marTop w:val="0"/>
      <w:marBottom w:val="0"/>
      <w:divBdr>
        <w:top w:val="none" w:sz="0" w:space="0" w:color="auto"/>
        <w:left w:val="none" w:sz="0" w:space="0" w:color="auto"/>
        <w:bottom w:val="none" w:sz="0" w:space="0" w:color="auto"/>
        <w:right w:val="none" w:sz="0" w:space="0" w:color="auto"/>
      </w:divBdr>
    </w:div>
    <w:div w:id="1849713385">
      <w:bodyDiv w:val="1"/>
      <w:marLeft w:val="0"/>
      <w:marRight w:val="0"/>
      <w:marTop w:val="0"/>
      <w:marBottom w:val="0"/>
      <w:divBdr>
        <w:top w:val="none" w:sz="0" w:space="0" w:color="auto"/>
        <w:left w:val="none" w:sz="0" w:space="0" w:color="auto"/>
        <w:bottom w:val="none" w:sz="0" w:space="0" w:color="auto"/>
        <w:right w:val="none" w:sz="0" w:space="0" w:color="auto"/>
      </w:divBdr>
    </w:div>
    <w:div w:id="1906063999">
      <w:bodyDiv w:val="1"/>
      <w:marLeft w:val="0"/>
      <w:marRight w:val="0"/>
      <w:marTop w:val="0"/>
      <w:marBottom w:val="0"/>
      <w:divBdr>
        <w:top w:val="none" w:sz="0" w:space="0" w:color="auto"/>
        <w:left w:val="none" w:sz="0" w:space="0" w:color="auto"/>
        <w:bottom w:val="none" w:sz="0" w:space="0" w:color="auto"/>
        <w:right w:val="none" w:sz="0" w:space="0" w:color="auto"/>
      </w:divBdr>
    </w:div>
    <w:div w:id="1913006336">
      <w:bodyDiv w:val="1"/>
      <w:marLeft w:val="0"/>
      <w:marRight w:val="0"/>
      <w:marTop w:val="0"/>
      <w:marBottom w:val="0"/>
      <w:divBdr>
        <w:top w:val="none" w:sz="0" w:space="0" w:color="auto"/>
        <w:left w:val="none" w:sz="0" w:space="0" w:color="auto"/>
        <w:bottom w:val="none" w:sz="0" w:space="0" w:color="auto"/>
        <w:right w:val="none" w:sz="0" w:space="0" w:color="auto"/>
      </w:divBdr>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559315">
      <w:bodyDiv w:val="1"/>
      <w:marLeft w:val="0"/>
      <w:marRight w:val="0"/>
      <w:marTop w:val="0"/>
      <w:marBottom w:val="0"/>
      <w:divBdr>
        <w:top w:val="none" w:sz="0" w:space="0" w:color="auto"/>
        <w:left w:val="none" w:sz="0" w:space="0" w:color="auto"/>
        <w:bottom w:val="none" w:sz="0" w:space="0" w:color="auto"/>
        <w:right w:val="none" w:sz="0" w:space="0" w:color="auto"/>
      </w:divBdr>
    </w:div>
    <w:div w:id="2062512269">
      <w:bodyDiv w:val="1"/>
      <w:marLeft w:val="0"/>
      <w:marRight w:val="0"/>
      <w:marTop w:val="0"/>
      <w:marBottom w:val="0"/>
      <w:divBdr>
        <w:top w:val="none" w:sz="0" w:space="0" w:color="auto"/>
        <w:left w:val="none" w:sz="0" w:space="0" w:color="auto"/>
        <w:bottom w:val="none" w:sz="0" w:space="0" w:color="auto"/>
        <w:right w:val="none" w:sz="0" w:space="0" w:color="auto"/>
      </w:divBdr>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 w:id="212908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rasparenza.arcea.it/tr/13_/01_Bilancio%20Preventivo%20e%20Consuntivo/Bilancio%20Consuntivo/Rendiconto%20Generale%20Esercizio%20Finanziario%202017%20-%20%20SPESE%20(pdf%20aperto).pdf" TargetMode="Externa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trasparenza.arcea.it/tr/13_/01_Bilancio%20Preventivo%20e%20Consuntivo/Bilancio%20Consuntivo/Rendiconto%20Generale%20Esercizio%20Finanziario%202017%20-%20%20SPESE%20(excel%20aperto).xlsx" TargetMode="Externa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trasparenza.arcea.it/tr/13_/01_Bilancio%20Preventivo%20e%20Consuntivo/Bilancio%20Preventivo/BILANCIO%20DI%20PREVISIONE%202017%20-%20DOCUMENTAZIONE%20COMPLETA.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rasparenza.arcea.it/tr/13_/01_Bilancio%20Preventivo%20e%20Consuntivo/Bilancio%20Consuntivo/Rendiconto%20Generale%20Esercizio%20Finanziario%202017%20-%20%20SPESE%20(doc%20aperto).doc" TargetMode="External"/><Relationship Id="rId22" Type="http://schemas.openxmlformats.org/officeDocument/2006/relationships/hyperlink" Target="http://www.arcea.i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giuseppearcidiacono:Library:Containers:com.apple.mail:Data:Library:Mail%20Downloads:5F051A23-6A01-45CC-AF44-C2047886AEA3:BOZZA_SPESE_IT_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artella%20di%20lavoro3"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Foglio2!$C$1:$F$1</c:f>
              <c:strCache>
                <c:ptCount val="4"/>
                <c:pt idx="0">
                  <c:v>Direzione</c:v>
                </c:pt>
                <c:pt idx="1">
                  <c:v>Esecuzione</c:v>
                </c:pt>
                <c:pt idx="2">
                  <c:v>Contabilizzazione</c:v>
                </c:pt>
                <c:pt idx="3">
                  <c:v>Autorizzazione</c:v>
                </c:pt>
              </c:strCache>
            </c:strRef>
          </c:cat>
          <c:val>
            <c:numRef>
              <c:f>Foglio2!$C$8:$F$8</c:f>
              <c:numCache>
                <c:formatCode>###,000</c:formatCode>
                <c:ptCount val="4"/>
                <c:pt idx="0">
                  <c:v>5010838.6100000003</c:v>
                </c:pt>
                <c:pt idx="1">
                  <c:v>313177.41000000009</c:v>
                </c:pt>
                <c:pt idx="2">
                  <c:v>1409298.36</c:v>
                </c:pt>
                <c:pt idx="3">
                  <c:v>2035653.18</c:v>
                </c:pt>
              </c:numCache>
            </c:numRef>
          </c:val>
        </c:ser>
        <c:dLbls>
          <c:showLegendKey val="0"/>
          <c:showVal val="0"/>
          <c:showCatName val="0"/>
          <c:showSerName val="0"/>
          <c:showPercent val="0"/>
          <c:showBubbleSize val="0"/>
        </c:dLbls>
        <c:gapWidth val="150"/>
        <c:axId val="180664960"/>
        <c:axId val="183819648"/>
      </c:barChart>
      <c:catAx>
        <c:axId val="180664960"/>
        <c:scaling>
          <c:orientation val="minMax"/>
        </c:scaling>
        <c:delete val="0"/>
        <c:axPos val="b"/>
        <c:majorTickMark val="out"/>
        <c:minorTickMark val="none"/>
        <c:tickLblPos val="nextTo"/>
        <c:crossAx val="183819648"/>
        <c:crosses val="autoZero"/>
        <c:auto val="1"/>
        <c:lblAlgn val="ctr"/>
        <c:lblOffset val="100"/>
        <c:noMultiLvlLbl val="0"/>
      </c:catAx>
      <c:valAx>
        <c:axId val="183819648"/>
        <c:scaling>
          <c:orientation val="minMax"/>
        </c:scaling>
        <c:delete val="0"/>
        <c:axPos val="l"/>
        <c:majorGridlines/>
        <c:numFmt formatCode="###,000" sourceLinked="1"/>
        <c:majorTickMark val="out"/>
        <c:minorTickMark val="none"/>
        <c:tickLblPos val="nextTo"/>
        <c:crossAx val="1806649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Foglio1!$D$32:$G$32</c:f>
              <c:strCache>
                <c:ptCount val="4"/>
                <c:pt idx="0">
                  <c:v>Direzione</c:v>
                </c:pt>
                <c:pt idx="1">
                  <c:v>Esecuzione</c:v>
                </c:pt>
                <c:pt idx="2">
                  <c:v>Contabilizzazione</c:v>
                </c:pt>
                <c:pt idx="3">
                  <c:v>Autorizzazione</c:v>
                </c:pt>
              </c:strCache>
            </c:strRef>
          </c:cat>
          <c:val>
            <c:numRef>
              <c:f>Foglio1!$D$37:$G$37</c:f>
              <c:numCache>
                <c:formatCode>###,000</c:formatCode>
                <c:ptCount val="4"/>
                <c:pt idx="0">
                  <c:v>5006057.72</c:v>
                </c:pt>
                <c:pt idx="1">
                  <c:v>312878.60749999993</c:v>
                </c:pt>
                <c:pt idx="2">
                  <c:v>1407953.7337499999</c:v>
                </c:pt>
                <c:pt idx="3">
                  <c:v>2033710.94875</c:v>
                </c:pt>
              </c:numCache>
            </c:numRef>
          </c:val>
        </c:ser>
        <c:dLbls>
          <c:showLegendKey val="0"/>
          <c:showVal val="0"/>
          <c:showCatName val="0"/>
          <c:showSerName val="0"/>
          <c:showPercent val="0"/>
          <c:showBubbleSize val="0"/>
        </c:dLbls>
        <c:gapWidth val="150"/>
        <c:axId val="189959168"/>
        <c:axId val="247878400"/>
      </c:barChart>
      <c:catAx>
        <c:axId val="189959168"/>
        <c:scaling>
          <c:orientation val="minMax"/>
        </c:scaling>
        <c:delete val="0"/>
        <c:axPos val="b"/>
        <c:majorTickMark val="out"/>
        <c:minorTickMark val="none"/>
        <c:tickLblPos val="nextTo"/>
        <c:crossAx val="247878400"/>
        <c:crosses val="autoZero"/>
        <c:auto val="1"/>
        <c:lblAlgn val="ctr"/>
        <c:lblOffset val="100"/>
        <c:noMultiLvlLbl val="0"/>
      </c:catAx>
      <c:valAx>
        <c:axId val="247878400"/>
        <c:scaling>
          <c:orientation val="minMax"/>
        </c:scaling>
        <c:delete val="0"/>
        <c:axPos val="l"/>
        <c:majorGridlines/>
        <c:numFmt formatCode="###,000" sourceLinked="1"/>
        <c:majorTickMark val="out"/>
        <c:minorTickMark val="none"/>
        <c:tickLblPos val="nextTo"/>
        <c:crossAx val="1899591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Foglio1!$B$1:$B$3</c:f>
              <c:numCache>
                <c:formatCode>Standard</c:formatCode>
                <c:ptCount val="3"/>
                <c:pt idx="0">
                  <c:v>2015</c:v>
                </c:pt>
                <c:pt idx="1">
                  <c:v>2016</c:v>
                </c:pt>
                <c:pt idx="2">
                  <c:v>2017</c:v>
                </c:pt>
              </c:numCache>
            </c:numRef>
          </c:cat>
          <c:val>
            <c:numRef>
              <c:f>Foglio1!$A$1:$A$3</c:f>
              <c:numCache>
                <c:formatCode>#,000%</c:formatCode>
                <c:ptCount val="3"/>
                <c:pt idx="0">
                  <c:v>0.47920000000000001</c:v>
                </c:pt>
                <c:pt idx="1">
                  <c:v>0.47739999999999999</c:v>
                </c:pt>
                <c:pt idx="2">
                  <c:v>0.34129999999999999</c:v>
                </c:pt>
              </c:numCache>
            </c:numRef>
          </c:val>
        </c:ser>
        <c:dLbls>
          <c:showLegendKey val="0"/>
          <c:showVal val="0"/>
          <c:showCatName val="0"/>
          <c:showSerName val="0"/>
          <c:showPercent val="0"/>
          <c:showBubbleSize val="0"/>
        </c:dLbls>
        <c:gapWidth val="150"/>
        <c:axId val="200429568"/>
        <c:axId val="200431104"/>
      </c:barChart>
      <c:catAx>
        <c:axId val="200429568"/>
        <c:scaling>
          <c:orientation val="minMax"/>
        </c:scaling>
        <c:delete val="0"/>
        <c:axPos val="b"/>
        <c:numFmt formatCode="Standard" sourceLinked="1"/>
        <c:majorTickMark val="out"/>
        <c:minorTickMark val="none"/>
        <c:tickLblPos val="nextTo"/>
        <c:crossAx val="200431104"/>
        <c:crosses val="autoZero"/>
        <c:auto val="1"/>
        <c:lblAlgn val="ctr"/>
        <c:lblOffset val="100"/>
        <c:noMultiLvlLbl val="0"/>
      </c:catAx>
      <c:valAx>
        <c:axId val="200431104"/>
        <c:scaling>
          <c:orientation val="minMax"/>
        </c:scaling>
        <c:delete val="0"/>
        <c:axPos val="l"/>
        <c:majorGridlines/>
        <c:numFmt formatCode="#,000%" sourceLinked="1"/>
        <c:majorTickMark val="out"/>
        <c:minorTickMark val="none"/>
        <c:tickLblPos val="nextTo"/>
        <c:crossAx val="2004295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numRef>
              <c:f>Foglio1!$B$29:$B$31</c:f>
              <c:numCache>
                <c:formatCode>Standard</c:formatCode>
                <c:ptCount val="3"/>
                <c:pt idx="0">
                  <c:v>2015</c:v>
                </c:pt>
                <c:pt idx="1">
                  <c:v>2016</c:v>
                </c:pt>
                <c:pt idx="2">
                  <c:v>2017</c:v>
                </c:pt>
              </c:numCache>
            </c:numRef>
          </c:cat>
          <c:val>
            <c:numRef>
              <c:f>Foglio1!$A$29:$A$31</c:f>
              <c:numCache>
                <c:formatCode>#,000%</c:formatCode>
                <c:ptCount val="3"/>
                <c:pt idx="0">
                  <c:v>0.85</c:v>
                </c:pt>
                <c:pt idx="1">
                  <c:v>0.84489999999999998</c:v>
                </c:pt>
                <c:pt idx="2">
                  <c:v>0.71740000000000004</c:v>
                </c:pt>
              </c:numCache>
            </c:numRef>
          </c:val>
        </c:ser>
        <c:dLbls>
          <c:showLegendKey val="0"/>
          <c:showVal val="0"/>
          <c:showCatName val="0"/>
          <c:showSerName val="0"/>
          <c:showPercent val="0"/>
          <c:showBubbleSize val="0"/>
        </c:dLbls>
        <c:gapWidth val="150"/>
        <c:axId val="200442240"/>
        <c:axId val="200443776"/>
      </c:barChart>
      <c:catAx>
        <c:axId val="200442240"/>
        <c:scaling>
          <c:orientation val="minMax"/>
        </c:scaling>
        <c:delete val="0"/>
        <c:axPos val="b"/>
        <c:numFmt formatCode="Standard" sourceLinked="1"/>
        <c:majorTickMark val="out"/>
        <c:minorTickMark val="none"/>
        <c:tickLblPos val="nextTo"/>
        <c:crossAx val="200443776"/>
        <c:crosses val="autoZero"/>
        <c:auto val="1"/>
        <c:lblAlgn val="ctr"/>
        <c:lblOffset val="100"/>
        <c:noMultiLvlLbl val="0"/>
      </c:catAx>
      <c:valAx>
        <c:axId val="200443776"/>
        <c:scaling>
          <c:orientation val="minMax"/>
        </c:scaling>
        <c:delete val="0"/>
        <c:axPos val="l"/>
        <c:majorGridlines/>
        <c:numFmt formatCode="#,000%" sourceLinked="1"/>
        <c:majorTickMark val="out"/>
        <c:minorTickMark val="none"/>
        <c:tickLblPos val="nextTo"/>
        <c:crossAx val="2004422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cat>
            <c:numRef>
              <c:f>Foglio1!$B$36:$B$38</c:f>
              <c:numCache>
                <c:formatCode>Standard</c:formatCode>
                <c:ptCount val="3"/>
                <c:pt idx="0">
                  <c:v>2015</c:v>
                </c:pt>
                <c:pt idx="1">
                  <c:v>2016</c:v>
                </c:pt>
                <c:pt idx="2">
                  <c:v>2017</c:v>
                </c:pt>
              </c:numCache>
            </c:numRef>
          </c:cat>
          <c:val>
            <c:numRef>
              <c:f>Foglio1!$A$36:$A$38</c:f>
              <c:numCache>
                <c:formatCode>#,000%</c:formatCode>
                <c:ptCount val="3"/>
                <c:pt idx="0">
                  <c:v>0.47210000000000002</c:v>
                </c:pt>
                <c:pt idx="1">
                  <c:v>0.47039999999999998</c:v>
                </c:pt>
                <c:pt idx="2">
                  <c:v>0.46100000000000002</c:v>
                </c:pt>
              </c:numCache>
            </c:numRef>
          </c:val>
        </c:ser>
        <c:dLbls>
          <c:showLegendKey val="0"/>
          <c:showVal val="0"/>
          <c:showCatName val="0"/>
          <c:showSerName val="0"/>
          <c:showPercent val="0"/>
          <c:showBubbleSize val="0"/>
        </c:dLbls>
        <c:gapWidth val="150"/>
        <c:axId val="200451200"/>
        <c:axId val="200452736"/>
      </c:barChart>
      <c:catAx>
        <c:axId val="200451200"/>
        <c:scaling>
          <c:orientation val="minMax"/>
        </c:scaling>
        <c:delete val="0"/>
        <c:axPos val="b"/>
        <c:numFmt formatCode="Standard" sourceLinked="1"/>
        <c:majorTickMark val="out"/>
        <c:minorTickMark val="none"/>
        <c:tickLblPos val="nextTo"/>
        <c:crossAx val="200452736"/>
        <c:crosses val="autoZero"/>
        <c:auto val="1"/>
        <c:lblAlgn val="ctr"/>
        <c:lblOffset val="100"/>
        <c:noMultiLvlLbl val="0"/>
      </c:catAx>
      <c:valAx>
        <c:axId val="200452736"/>
        <c:scaling>
          <c:orientation val="minMax"/>
        </c:scaling>
        <c:delete val="0"/>
        <c:axPos val="l"/>
        <c:majorGridlines/>
        <c:numFmt formatCode="#,000%" sourceLinked="1"/>
        <c:majorTickMark val="out"/>
        <c:minorTickMark val="none"/>
        <c:tickLblPos val="nextTo"/>
        <c:crossAx val="2004512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invertIfNegative val="0"/>
          <c:cat>
            <c:numRef>
              <c:f>Foglio1!$B$45:$B$47</c:f>
              <c:numCache>
                <c:formatCode>Standard</c:formatCode>
                <c:ptCount val="3"/>
                <c:pt idx="0">
                  <c:v>2015</c:v>
                </c:pt>
                <c:pt idx="1">
                  <c:v>2016</c:v>
                </c:pt>
                <c:pt idx="2">
                  <c:v>2017</c:v>
                </c:pt>
              </c:numCache>
            </c:numRef>
          </c:cat>
          <c:val>
            <c:numRef>
              <c:f>Foglio1!$A$45:$A$47</c:f>
              <c:numCache>
                <c:formatCode>#,000%</c:formatCode>
                <c:ptCount val="3"/>
                <c:pt idx="0">
                  <c:v>1</c:v>
                </c:pt>
                <c:pt idx="1">
                  <c:v>1</c:v>
                </c:pt>
                <c:pt idx="2">
                  <c:v>0.81850000000000001</c:v>
                </c:pt>
              </c:numCache>
            </c:numRef>
          </c:val>
        </c:ser>
        <c:dLbls>
          <c:showLegendKey val="0"/>
          <c:showVal val="0"/>
          <c:showCatName val="0"/>
          <c:showSerName val="0"/>
          <c:showPercent val="0"/>
          <c:showBubbleSize val="0"/>
        </c:dLbls>
        <c:gapWidth val="150"/>
        <c:axId val="247863168"/>
        <c:axId val="247864704"/>
      </c:barChart>
      <c:catAx>
        <c:axId val="247863168"/>
        <c:scaling>
          <c:orientation val="minMax"/>
        </c:scaling>
        <c:delete val="0"/>
        <c:axPos val="b"/>
        <c:numFmt formatCode="Standard" sourceLinked="1"/>
        <c:majorTickMark val="out"/>
        <c:minorTickMark val="none"/>
        <c:tickLblPos val="nextTo"/>
        <c:crossAx val="247864704"/>
        <c:crosses val="autoZero"/>
        <c:auto val="1"/>
        <c:lblAlgn val="ctr"/>
        <c:lblOffset val="100"/>
        <c:noMultiLvlLbl val="0"/>
      </c:catAx>
      <c:valAx>
        <c:axId val="247864704"/>
        <c:scaling>
          <c:orientation val="minMax"/>
        </c:scaling>
        <c:delete val="0"/>
        <c:axPos val="l"/>
        <c:majorGridlines/>
        <c:numFmt formatCode="#,000%" sourceLinked="1"/>
        <c:majorTickMark val="out"/>
        <c:minorTickMark val="none"/>
        <c:tickLblPos val="nextTo"/>
        <c:crossAx val="247863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BE30-7C91-4B02-857A-ED9B90B6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98</Pages>
  <Words>33644</Words>
  <Characters>191775</Characters>
  <Application>Microsoft Office Word</Application>
  <DocSecurity>0</DocSecurity>
  <Lines>1598</Lines>
  <Paragraphs>449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224970</CharactersWithSpaces>
  <SharedDoc>false</SharedDoc>
  <HLinks>
    <vt:vector size="216" baseType="variant">
      <vt:variant>
        <vt:i4>6029398</vt:i4>
      </vt:variant>
      <vt:variant>
        <vt:i4>201</vt:i4>
      </vt:variant>
      <vt:variant>
        <vt:i4>0</vt:i4>
      </vt:variant>
      <vt:variant>
        <vt:i4>5</vt:i4>
      </vt:variant>
      <vt:variant>
        <vt:lpwstr>http://trasparenza.arcea.it/tr/13_/01_Bilancio Preventivo e Consuntivo/Bilancio Preventivo/BILANCIO DI PREVISIONE 2017 - DOCUMENTAZIONE COMPLETA.pdf</vt:lpwstr>
      </vt:variant>
      <vt:variant>
        <vt:lpwstr/>
      </vt:variant>
      <vt:variant>
        <vt:i4>3080216</vt:i4>
      </vt:variant>
      <vt:variant>
        <vt:i4>198</vt:i4>
      </vt:variant>
      <vt:variant>
        <vt:i4>0</vt:i4>
      </vt:variant>
      <vt:variant>
        <vt:i4>5</vt:i4>
      </vt:variant>
      <vt:variant>
        <vt:lpwstr>http://trasparenza.arcea.it/tr/13_/01_Bilancio Preventivo e Consuntivo/Bilancio Consuntivo/Rendiconto Generale Esercizio Finanziario 2017 -  SPESE (doc aperto).doc</vt:lpwstr>
      </vt:variant>
      <vt:variant>
        <vt:lpwstr/>
      </vt:variant>
      <vt:variant>
        <vt:i4>3080216</vt:i4>
      </vt:variant>
      <vt:variant>
        <vt:i4>195</vt:i4>
      </vt:variant>
      <vt:variant>
        <vt:i4>0</vt:i4>
      </vt:variant>
      <vt:variant>
        <vt:i4>5</vt:i4>
      </vt:variant>
      <vt:variant>
        <vt:lpwstr>http://trasparenza.arcea.it/tr/13_/01_Bilancio Preventivo e Consuntivo/Bilancio Consuntivo/Rendiconto Generale Esercizio Finanziario 2017 -  SPESE (pdf aperto).pdf</vt:lpwstr>
      </vt:variant>
      <vt:variant>
        <vt:lpwstr/>
      </vt:variant>
      <vt:variant>
        <vt:i4>2490489</vt:i4>
      </vt:variant>
      <vt:variant>
        <vt:i4>192</vt:i4>
      </vt:variant>
      <vt:variant>
        <vt:i4>0</vt:i4>
      </vt:variant>
      <vt:variant>
        <vt:i4>5</vt:i4>
      </vt:variant>
      <vt:variant>
        <vt:lpwstr>http://trasparenza.arcea.it/tr/13_/01_Bilancio Preventivo e Consuntivo/Bilancio Consuntivo/Rendiconto Generale Esercizio Finanziario 2017 -  SPESE (excel aperto).xlsx</vt:lpwstr>
      </vt:variant>
      <vt:variant>
        <vt:lpwstr/>
      </vt:variant>
      <vt:variant>
        <vt:i4>2162717</vt:i4>
      </vt:variant>
      <vt:variant>
        <vt:i4>189</vt:i4>
      </vt:variant>
      <vt:variant>
        <vt:i4>0</vt:i4>
      </vt:variant>
      <vt:variant>
        <vt:i4>5</vt:i4>
      </vt:variant>
      <vt:variant>
        <vt:lpwstr>http://www.arcea.it</vt:lpwstr>
      </vt:variant>
      <vt:variant>
        <vt:lpwstr/>
      </vt:variant>
      <vt:variant>
        <vt:i4>1441797</vt:i4>
      </vt:variant>
      <vt:variant>
        <vt:i4>182</vt:i4>
      </vt:variant>
      <vt:variant>
        <vt:i4>0</vt:i4>
      </vt:variant>
      <vt:variant>
        <vt:i4>5</vt:i4>
      </vt:variant>
      <vt:variant>
        <vt:lpwstr/>
      </vt:variant>
      <vt:variant>
        <vt:lpwstr>_Toc516495916</vt:lpwstr>
      </vt:variant>
      <vt:variant>
        <vt:i4>1441798</vt:i4>
      </vt:variant>
      <vt:variant>
        <vt:i4>176</vt:i4>
      </vt:variant>
      <vt:variant>
        <vt:i4>0</vt:i4>
      </vt:variant>
      <vt:variant>
        <vt:i4>5</vt:i4>
      </vt:variant>
      <vt:variant>
        <vt:lpwstr/>
      </vt:variant>
      <vt:variant>
        <vt:lpwstr>_Toc516495915</vt:lpwstr>
      </vt:variant>
      <vt:variant>
        <vt:i4>1441799</vt:i4>
      </vt:variant>
      <vt:variant>
        <vt:i4>170</vt:i4>
      </vt:variant>
      <vt:variant>
        <vt:i4>0</vt:i4>
      </vt:variant>
      <vt:variant>
        <vt:i4>5</vt:i4>
      </vt:variant>
      <vt:variant>
        <vt:lpwstr/>
      </vt:variant>
      <vt:variant>
        <vt:lpwstr>_Toc516495914</vt:lpwstr>
      </vt:variant>
      <vt:variant>
        <vt:i4>1441792</vt:i4>
      </vt:variant>
      <vt:variant>
        <vt:i4>164</vt:i4>
      </vt:variant>
      <vt:variant>
        <vt:i4>0</vt:i4>
      </vt:variant>
      <vt:variant>
        <vt:i4>5</vt:i4>
      </vt:variant>
      <vt:variant>
        <vt:lpwstr/>
      </vt:variant>
      <vt:variant>
        <vt:lpwstr>_Toc516495913</vt:lpwstr>
      </vt:variant>
      <vt:variant>
        <vt:i4>1441793</vt:i4>
      </vt:variant>
      <vt:variant>
        <vt:i4>158</vt:i4>
      </vt:variant>
      <vt:variant>
        <vt:i4>0</vt:i4>
      </vt:variant>
      <vt:variant>
        <vt:i4>5</vt:i4>
      </vt:variant>
      <vt:variant>
        <vt:lpwstr/>
      </vt:variant>
      <vt:variant>
        <vt:lpwstr>_Toc516495912</vt:lpwstr>
      </vt:variant>
      <vt:variant>
        <vt:i4>1441794</vt:i4>
      </vt:variant>
      <vt:variant>
        <vt:i4>152</vt:i4>
      </vt:variant>
      <vt:variant>
        <vt:i4>0</vt:i4>
      </vt:variant>
      <vt:variant>
        <vt:i4>5</vt:i4>
      </vt:variant>
      <vt:variant>
        <vt:lpwstr/>
      </vt:variant>
      <vt:variant>
        <vt:lpwstr>_Toc516495911</vt:lpwstr>
      </vt:variant>
      <vt:variant>
        <vt:i4>1441795</vt:i4>
      </vt:variant>
      <vt:variant>
        <vt:i4>146</vt:i4>
      </vt:variant>
      <vt:variant>
        <vt:i4>0</vt:i4>
      </vt:variant>
      <vt:variant>
        <vt:i4>5</vt:i4>
      </vt:variant>
      <vt:variant>
        <vt:lpwstr/>
      </vt:variant>
      <vt:variant>
        <vt:lpwstr>_Toc516495910</vt:lpwstr>
      </vt:variant>
      <vt:variant>
        <vt:i4>1507338</vt:i4>
      </vt:variant>
      <vt:variant>
        <vt:i4>140</vt:i4>
      </vt:variant>
      <vt:variant>
        <vt:i4>0</vt:i4>
      </vt:variant>
      <vt:variant>
        <vt:i4>5</vt:i4>
      </vt:variant>
      <vt:variant>
        <vt:lpwstr/>
      </vt:variant>
      <vt:variant>
        <vt:lpwstr>_Toc516495909</vt:lpwstr>
      </vt:variant>
      <vt:variant>
        <vt:i4>1507339</vt:i4>
      </vt:variant>
      <vt:variant>
        <vt:i4>134</vt:i4>
      </vt:variant>
      <vt:variant>
        <vt:i4>0</vt:i4>
      </vt:variant>
      <vt:variant>
        <vt:i4>5</vt:i4>
      </vt:variant>
      <vt:variant>
        <vt:lpwstr/>
      </vt:variant>
      <vt:variant>
        <vt:lpwstr>_Toc516495908</vt:lpwstr>
      </vt:variant>
      <vt:variant>
        <vt:i4>1507332</vt:i4>
      </vt:variant>
      <vt:variant>
        <vt:i4>128</vt:i4>
      </vt:variant>
      <vt:variant>
        <vt:i4>0</vt:i4>
      </vt:variant>
      <vt:variant>
        <vt:i4>5</vt:i4>
      </vt:variant>
      <vt:variant>
        <vt:lpwstr/>
      </vt:variant>
      <vt:variant>
        <vt:lpwstr>_Toc516495907</vt:lpwstr>
      </vt:variant>
      <vt:variant>
        <vt:i4>1507333</vt:i4>
      </vt:variant>
      <vt:variant>
        <vt:i4>122</vt:i4>
      </vt:variant>
      <vt:variant>
        <vt:i4>0</vt:i4>
      </vt:variant>
      <vt:variant>
        <vt:i4>5</vt:i4>
      </vt:variant>
      <vt:variant>
        <vt:lpwstr/>
      </vt:variant>
      <vt:variant>
        <vt:lpwstr>_Toc516495906</vt:lpwstr>
      </vt:variant>
      <vt:variant>
        <vt:i4>1507334</vt:i4>
      </vt:variant>
      <vt:variant>
        <vt:i4>116</vt:i4>
      </vt:variant>
      <vt:variant>
        <vt:i4>0</vt:i4>
      </vt:variant>
      <vt:variant>
        <vt:i4>5</vt:i4>
      </vt:variant>
      <vt:variant>
        <vt:lpwstr/>
      </vt:variant>
      <vt:variant>
        <vt:lpwstr>_Toc516495905</vt:lpwstr>
      </vt:variant>
      <vt:variant>
        <vt:i4>1507335</vt:i4>
      </vt:variant>
      <vt:variant>
        <vt:i4>110</vt:i4>
      </vt:variant>
      <vt:variant>
        <vt:i4>0</vt:i4>
      </vt:variant>
      <vt:variant>
        <vt:i4>5</vt:i4>
      </vt:variant>
      <vt:variant>
        <vt:lpwstr/>
      </vt:variant>
      <vt:variant>
        <vt:lpwstr>_Toc516495904</vt:lpwstr>
      </vt:variant>
      <vt:variant>
        <vt:i4>1507328</vt:i4>
      </vt:variant>
      <vt:variant>
        <vt:i4>104</vt:i4>
      </vt:variant>
      <vt:variant>
        <vt:i4>0</vt:i4>
      </vt:variant>
      <vt:variant>
        <vt:i4>5</vt:i4>
      </vt:variant>
      <vt:variant>
        <vt:lpwstr/>
      </vt:variant>
      <vt:variant>
        <vt:lpwstr>_Toc516495903</vt:lpwstr>
      </vt:variant>
      <vt:variant>
        <vt:i4>1507329</vt:i4>
      </vt:variant>
      <vt:variant>
        <vt:i4>98</vt:i4>
      </vt:variant>
      <vt:variant>
        <vt:i4>0</vt:i4>
      </vt:variant>
      <vt:variant>
        <vt:i4>5</vt:i4>
      </vt:variant>
      <vt:variant>
        <vt:lpwstr/>
      </vt:variant>
      <vt:variant>
        <vt:lpwstr>_Toc516495902</vt:lpwstr>
      </vt:variant>
      <vt:variant>
        <vt:i4>1507330</vt:i4>
      </vt:variant>
      <vt:variant>
        <vt:i4>92</vt:i4>
      </vt:variant>
      <vt:variant>
        <vt:i4>0</vt:i4>
      </vt:variant>
      <vt:variant>
        <vt:i4>5</vt:i4>
      </vt:variant>
      <vt:variant>
        <vt:lpwstr/>
      </vt:variant>
      <vt:variant>
        <vt:lpwstr>_Toc516495901</vt:lpwstr>
      </vt:variant>
      <vt:variant>
        <vt:i4>1507331</vt:i4>
      </vt:variant>
      <vt:variant>
        <vt:i4>86</vt:i4>
      </vt:variant>
      <vt:variant>
        <vt:i4>0</vt:i4>
      </vt:variant>
      <vt:variant>
        <vt:i4>5</vt:i4>
      </vt:variant>
      <vt:variant>
        <vt:lpwstr/>
      </vt:variant>
      <vt:variant>
        <vt:lpwstr>_Toc516495900</vt:lpwstr>
      </vt:variant>
      <vt:variant>
        <vt:i4>1966091</vt:i4>
      </vt:variant>
      <vt:variant>
        <vt:i4>80</vt:i4>
      </vt:variant>
      <vt:variant>
        <vt:i4>0</vt:i4>
      </vt:variant>
      <vt:variant>
        <vt:i4>5</vt:i4>
      </vt:variant>
      <vt:variant>
        <vt:lpwstr/>
      </vt:variant>
      <vt:variant>
        <vt:lpwstr>_Toc516495899</vt:lpwstr>
      </vt:variant>
      <vt:variant>
        <vt:i4>1966090</vt:i4>
      </vt:variant>
      <vt:variant>
        <vt:i4>74</vt:i4>
      </vt:variant>
      <vt:variant>
        <vt:i4>0</vt:i4>
      </vt:variant>
      <vt:variant>
        <vt:i4>5</vt:i4>
      </vt:variant>
      <vt:variant>
        <vt:lpwstr/>
      </vt:variant>
      <vt:variant>
        <vt:lpwstr>_Toc516495898</vt:lpwstr>
      </vt:variant>
      <vt:variant>
        <vt:i4>1966085</vt:i4>
      </vt:variant>
      <vt:variant>
        <vt:i4>68</vt:i4>
      </vt:variant>
      <vt:variant>
        <vt:i4>0</vt:i4>
      </vt:variant>
      <vt:variant>
        <vt:i4>5</vt:i4>
      </vt:variant>
      <vt:variant>
        <vt:lpwstr/>
      </vt:variant>
      <vt:variant>
        <vt:lpwstr>_Toc516495897</vt:lpwstr>
      </vt:variant>
      <vt:variant>
        <vt:i4>1966084</vt:i4>
      </vt:variant>
      <vt:variant>
        <vt:i4>62</vt:i4>
      </vt:variant>
      <vt:variant>
        <vt:i4>0</vt:i4>
      </vt:variant>
      <vt:variant>
        <vt:i4>5</vt:i4>
      </vt:variant>
      <vt:variant>
        <vt:lpwstr/>
      </vt:variant>
      <vt:variant>
        <vt:lpwstr>_Toc516495896</vt:lpwstr>
      </vt:variant>
      <vt:variant>
        <vt:i4>1966087</vt:i4>
      </vt:variant>
      <vt:variant>
        <vt:i4>56</vt:i4>
      </vt:variant>
      <vt:variant>
        <vt:i4>0</vt:i4>
      </vt:variant>
      <vt:variant>
        <vt:i4>5</vt:i4>
      </vt:variant>
      <vt:variant>
        <vt:lpwstr/>
      </vt:variant>
      <vt:variant>
        <vt:lpwstr>_Toc516495895</vt:lpwstr>
      </vt:variant>
      <vt:variant>
        <vt:i4>1966086</vt:i4>
      </vt:variant>
      <vt:variant>
        <vt:i4>50</vt:i4>
      </vt:variant>
      <vt:variant>
        <vt:i4>0</vt:i4>
      </vt:variant>
      <vt:variant>
        <vt:i4>5</vt:i4>
      </vt:variant>
      <vt:variant>
        <vt:lpwstr/>
      </vt:variant>
      <vt:variant>
        <vt:lpwstr>_Toc516495894</vt:lpwstr>
      </vt:variant>
      <vt:variant>
        <vt:i4>1966081</vt:i4>
      </vt:variant>
      <vt:variant>
        <vt:i4>44</vt:i4>
      </vt:variant>
      <vt:variant>
        <vt:i4>0</vt:i4>
      </vt:variant>
      <vt:variant>
        <vt:i4>5</vt:i4>
      </vt:variant>
      <vt:variant>
        <vt:lpwstr/>
      </vt:variant>
      <vt:variant>
        <vt:lpwstr>_Toc516495893</vt:lpwstr>
      </vt:variant>
      <vt:variant>
        <vt:i4>1966080</vt:i4>
      </vt:variant>
      <vt:variant>
        <vt:i4>38</vt:i4>
      </vt:variant>
      <vt:variant>
        <vt:i4>0</vt:i4>
      </vt:variant>
      <vt:variant>
        <vt:i4>5</vt:i4>
      </vt:variant>
      <vt:variant>
        <vt:lpwstr/>
      </vt:variant>
      <vt:variant>
        <vt:lpwstr>_Toc516495892</vt:lpwstr>
      </vt:variant>
      <vt:variant>
        <vt:i4>1966083</vt:i4>
      </vt:variant>
      <vt:variant>
        <vt:i4>32</vt:i4>
      </vt:variant>
      <vt:variant>
        <vt:i4>0</vt:i4>
      </vt:variant>
      <vt:variant>
        <vt:i4>5</vt:i4>
      </vt:variant>
      <vt:variant>
        <vt:lpwstr/>
      </vt:variant>
      <vt:variant>
        <vt:lpwstr>_Toc516495891</vt:lpwstr>
      </vt:variant>
      <vt:variant>
        <vt:i4>1966082</vt:i4>
      </vt:variant>
      <vt:variant>
        <vt:i4>26</vt:i4>
      </vt:variant>
      <vt:variant>
        <vt:i4>0</vt:i4>
      </vt:variant>
      <vt:variant>
        <vt:i4>5</vt:i4>
      </vt:variant>
      <vt:variant>
        <vt:lpwstr/>
      </vt:variant>
      <vt:variant>
        <vt:lpwstr>_Toc516495890</vt:lpwstr>
      </vt:variant>
      <vt:variant>
        <vt:i4>2031627</vt:i4>
      </vt:variant>
      <vt:variant>
        <vt:i4>20</vt:i4>
      </vt:variant>
      <vt:variant>
        <vt:i4>0</vt:i4>
      </vt:variant>
      <vt:variant>
        <vt:i4>5</vt:i4>
      </vt:variant>
      <vt:variant>
        <vt:lpwstr/>
      </vt:variant>
      <vt:variant>
        <vt:lpwstr>_Toc516495889</vt:lpwstr>
      </vt:variant>
      <vt:variant>
        <vt:i4>2031626</vt:i4>
      </vt:variant>
      <vt:variant>
        <vt:i4>14</vt:i4>
      </vt:variant>
      <vt:variant>
        <vt:i4>0</vt:i4>
      </vt:variant>
      <vt:variant>
        <vt:i4>5</vt:i4>
      </vt:variant>
      <vt:variant>
        <vt:lpwstr/>
      </vt:variant>
      <vt:variant>
        <vt:lpwstr>_Toc516495888</vt:lpwstr>
      </vt:variant>
      <vt:variant>
        <vt:i4>2031621</vt:i4>
      </vt:variant>
      <vt:variant>
        <vt:i4>8</vt:i4>
      </vt:variant>
      <vt:variant>
        <vt:i4>0</vt:i4>
      </vt:variant>
      <vt:variant>
        <vt:i4>5</vt:i4>
      </vt:variant>
      <vt:variant>
        <vt:lpwstr/>
      </vt:variant>
      <vt:variant>
        <vt:lpwstr>_Toc516495887</vt:lpwstr>
      </vt:variant>
      <vt:variant>
        <vt:i4>2031620</vt:i4>
      </vt:variant>
      <vt:variant>
        <vt:i4>2</vt:i4>
      </vt:variant>
      <vt:variant>
        <vt:i4>0</vt:i4>
      </vt:variant>
      <vt:variant>
        <vt:i4>5</vt:i4>
      </vt:variant>
      <vt:variant>
        <vt:lpwstr/>
      </vt:variant>
      <vt:variant>
        <vt:lpwstr>_Toc516495886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4</cp:revision>
  <cp:lastPrinted>2019-02-01T12:21:00Z</cp:lastPrinted>
  <dcterms:created xsi:type="dcterms:W3CDTF">2019-02-04T09:37:00Z</dcterms:created>
  <dcterms:modified xsi:type="dcterms:W3CDTF">2019-02-14T13:28:00Z</dcterms:modified>
</cp:coreProperties>
</file>